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BeratVO (Nordrhein-Westfalen) — Aufgaben der Regionalkommission</w:t>
      </w:r>
    </w:p>
    <w:p>
      <w:r>
        <w:rPr>
          <w:color w:val="555555"/>
          <w:sz w:val="18"/>
        </w:rPr>
        <w:t xml:space="preserve">Beratungsverordnung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Regionalkommission berät die Außenstellen, bei denen sie gebildet worden ist. Ihr ist vor allen wichtigen Entscheidungen und Maßnahmen Gelegenheit zur Stellungnahme zu geben.</w:t>
      </w:r>
    </w:p>
    <w:p>
      <w:r>
        <w:t xml:space="preserve">(2) Die Regionalkommission ist durch Anhörung zu beteiligen</w:t>
      </w:r>
    </w:p>
    <w:p>
      <w:r>
        <w:t xml:space="preserve">1. bei der Ausarbeitung eines Planes zur Bildung einer Waldwirtschaftsgenossenschaft nach § 16 Landesforstgesetz,</w:t>
      </w:r>
    </w:p>
    <w:p>
      <w:r>
        <w:t xml:space="preserve">2. bei der Entbindung von der Pflicht zur Wiederaufforstung nach § 44 Abs. 6 Landesforstgesetz,</w:t>
      </w:r>
    </w:p>
    <w:p>
      <w:r>
        <w:t xml:space="preserve">3. bei Anordnungen oder Maßnahmen nach § 44 Abs. 3 und § 45 Abs. 1 und 2 Landesforstgesetz,</w:t>
      </w:r>
    </w:p>
    <w:p>
      <w:r>
        <w:t xml:space="preserve">4. bei der Erarbeitung eines forstlichen Fachbeitrages zum Regionalplan nach § 7 Abs. 2 Landesforstgesetz,</w:t>
      </w:r>
    </w:p>
    <w:p>
      <w:r>
        <w:t xml:space="preserve">5. vor Abgabe einer Stellungnahme aufgrund von § 9 Nr. 2 Landesforstgesetz, sofern das Vorhaben für die Waldfläche oder die Forstwirtschaft im Forstamtsbezirk von erheblicher Bedeutung ist,</w:t>
      </w:r>
    </w:p>
    <w:p>
      <w:r>
        <w:t xml:space="preserve">6. bei der Entscheidung über Genehmigungen nach § 28 Absatz 2 Nummer 1 Landesforstgesetz.</w:t>
      </w:r>
    </w:p>
    <w:p>
      <w:r>
        <w:rPr>
          <w:color w:val="555555"/>
          <w:sz w:val="17"/>
        </w:rPr>
        <w:t xml:space="preserve">Zitiervorschlag: § 3 BeratVO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