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BeratVO (Nordrhein-Westfalen) — Inkrafttreten</w:t>
      </w:r>
    </w:p>
    <w:p>
      <w:r>
        <w:rPr>
          <w:color w:val="555555"/>
          <w:sz w:val="18"/>
        </w:rPr>
        <w:t xml:space="preserve">Beratungsverordnung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Der Minister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10 BeratVO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https://recht.nulegal.eu/gesetze/BeratVO/10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