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BeratHiG — Folgen der Aufhebung der Bewilligung</w:t>
      </w:r>
    </w:p>
    <w:p>
      <w:r>
        <w:rPr>
          <w:color w:val="555555"/>
          <w:sz w:val="18"/>
        </w:rPr>
        <w:t xml:space="preserve">Beratungshilfegesetz</w:t>
      </w:r>
    </w:p>
    <w:p>
      <w:r>
        <w:rPr>
          <w:color w:val="555555"/>
          <w:sz w:val="18"/>
        </w:rPr>
        <w:t xml:space="preserve">Stand: 01.08.2021 (konsolidierte Textfassung, kein amtliches Inkrafttretensdatum)</w:t>
      </w:r>
    </w:p>
    <w:p>
      <w:r>
        <w:t xml:space="preserve">(1) Wird die Beratungshilfebewilligung aufgehoben, bleibt der Vergütungsanspruch der Beratungsperson gegen die Staatskasse unberührt. Dies gilt nicht, wenn die Beratungsperson</w:t>
      </w:r>
    </w:p>
    <w:p>
      <w:pPr>
        <w:ind w:left="420"/>
      </w:pPr>
      <w:r>
        <w:t xml:space="preserve">1. Kenntnis oder grob fahrlässige Unkenntnis davon hatte, dass die Bewilligungsvoraussetzungen im Zeitpunkt der Beratungshilfeleistung nicht vorlagen, oder</w:t>
      </w:r>
    </w:p>
    <w:p>
      <w:pPr>
        <w:ind w:left="420"/>
      </w:pPr>
      <w:r>
        <w:t xml:space="preserve">2. die Aufhebung der Beratungshilfe selbst beantragt hat (§ 6a Absatz 2).</w:t>
      </w:r>
    </w:p>
    <w:p>
      <w:r>
        <w:t xml:space="preserve">(2) Die Beratungsperson kann von Rechtsuchenden Vergütung nach den allgemeinen Vorschriften verlangen, wenn sie</w:t>
      </w:r>
    </w:p>
    <w:p>
      <w:pPr>
        <w:ind w:left="420"/>
      </w:pPr>
      <w:r>
        <w:t xml:space="preserve">1. keine Vergütung aus der Staatskasse fordert oder einbehält und</w:t>
      </w:r>
    </w:p>
    <w:p>
      <w:pPr>
        <w:ind w:left="420"/>
      </w:pPr>
      <w:r>
        <w:t xml:space="preserve">2. die Rechtsuchenden bei der Mandatsübernahme auf die Möglichkeit der Aufhebung der Bewilligung sowie auf die sich für die Vergütung ergebenden Folgen hingewiesen hat.</w:t>
      </w:r>
    </w:p>
    <w:p>
      <w:r>
        <w:t xml:space="preserve">Soweit Rechtsuchende die Beratungshilfegebühr (Nummer 2500 der Anlage 1 des Rechtsanwaltsvergütungsgesetzes) bereits geleistet haben, ist sie auf den Vergütungsanspruch anzurechnen.</w:t>
      </w:r>
    </w:p>
    <w:p>
      <w:r>
        <w:t xml:space="preserve">(3) Wird die Bewilligung der Beratungshilfe aufgehoben, weil die persönlichen und wirtschaftlichen Voraussetzungen hierfür nicht vorgelegen haben, kann die Staatskasse von den Rechtsuchenden Erstattung des von ihr an die Beratungsperson geleisteten und von dieser einbehaltenen Betrages verlangen.</w:t>
      </w:r>
    </w:p>
    <w:p>
      <w:r>
        <w:t xml:space="preserve">(4) Wird im Fall nachträglicher Antragstellung Beratungshilfe nicht bewilligt, kann die Beratungsperson von den Rechtsuchenden Vergütung nach den allgemeinen Vorschriften verlangen, wenn sie diese bei der Mandatsübernahme hierauf hingewiesen hat. Absatz 2 Satz 2 gilt entsprechend.</w:t>
      </w:r>
    </w:p>
    <w:p>
      <w:r>
        <w:rPr>
          <w:color w:val="555555"/>
          <w:sz w:val="17"/>
        </w:rPr>
        <w:t xml:space="preserve">Zitiervorschlag: § 8a BeratHiG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https://recht.nulegal.eu/gesetze/BeratHiG/8a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