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BeratHiG — Vergütung</w:t>
      </w:r>
    </w:p>
    <w:p>
      <w:r>
        <w:rPr>
          <w:color w:val="555555"/>
          <w:sz w:val="18"/>
        </w:rPr>
        <w:t xml:space="preserve">Beratungshilfegesetz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Vergütung der Beratungsperson richtet sich nach den für die Beratungshilfe geltenden Vorschriften des Rechtsanwaltsvergütungsgesetzes. Die Beratungsperson, die nicht Rechtsanwalt ist, steht insoweit einem Rechtsanwalt gleich.</w:t>
      </w:r>
    </w:p>
    <w:p>
      <w:r>
        <w:t xml:space="preserve">(2) Die Bewilligung von Beratungshilfe bewirkt, dass die Beratungsperson gegen Rechtsuchende keinen Anspruch auf Vergütung mit Ausnahme der Beratungshilfegebühr (§ 44 Satz 2 des Rechtsanwaltsvergütungsgesetzes) geltend machen kann. Dies gilt auch in den Fällen nachträglicher Antragstellung (§ 6 Absatz 2) bis zur Entscheidung durch das Gericht.</w:t>
      </w:r>
    </w:p>
    <w:p>
      <w:r>
        <w:rPr>
          <w:color w:val="555555"/>
          <w:sz w:val="17"/>
        </w:rPr>
        <w:t xml:space="preserve">Zitiervorschlag: § 8 BeratHiG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https://recht.nulegal.eu/gesetze/BeratHiG/8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