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BeratHiG — Anwendbare Vorschriften</w:t>
      </w:r>
    </w:p>
    <w:p>
      <w:r>
        <w:rPr>
          <w:color w:val="555555"/>
          <w:sz w:val="18"/>
        </w:rPr>
        <w:t xml:space="preserve">Beratungshilfegesetz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Für das Verfahren gelten die Vorschriften des Gesetzes über das Verfahren in Familiensachen und in den Angelegenheiten der freiwilligen Gerichtsbarkeit entsprechend, soweit in diesem Gesetz nichts anderes bestimmt ist. § 185 Abs. 3 und § 189 Abs. 3 des Gerichtsverfassungsgesetzes gelten entsprechend.</w:t>
      </w:r>
    </w:p>
    <w:p>
      <w:r>
        <w:rPr>
          <w:color w:val="555555"/>
          <w:sz w:val="17"/>
        </w:rPr>
        <w:t xml:space="preserve">Zitiervorschlag: § 5 BeratHiG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https://recht.nulegal.eu/gesetze/BeratHiG/5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