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BeratHiG — Länderklauseln</w:t>
      </w:r>
    </w:p>
    <w:p>
      <w:r>
        <w:rPr>
          <w:color w:val="555555"/>
          <w:sz w:val="18"/>
        </w:rPr>
        <w:t xml:space="preserve">Beratungshilfegesetz</w:t>
      </w:r>
    </w:p>
    <w:p>
      <w:r>
        <w:rPr>
          <w:color w:val="555555"/>
          <w:sz w:val="18"/>
        </w:rPr>
        <w:t xml:space="preserve">Stand: 01.08.2021 (konsolidierte Textfassung, kein amtliches Inkrafttretensdatum)</w:t>
      </w:r>
    </w:p>
    <w:p>
      <w:r>
        <w:t xml:space="preserve">(1) In den Ländern Bremen und Hamburg tritt die eingeführte öffentliche Rechtsberatung an die Stelle der Beratungshilfe nach diesem Gesetz, wenn und soweit das Landesrecht nichts anderes bestimmt.</w:t>
      </w:r>
    </w:p>
    <w:p>
      <w:r>
        <w:t xml:space="preserve">(2) Im Land Berlin haben Rechtsuchende die Wahl zwischen der Inanspruchnahme der dort eingeführten öffentlichen Rechtsberatung und Beratungshilfe nach diesem Gesetz, wenn und soweit das Landesrecht nichts anderes bestimmt.</w:t>
      </w:r>
    </w:p>
    <w:p>
      <w:r>
        <w:t xml:space="preserve">(3) Die Länder können durch Gesetz die ausschließliche Zuständigkeit von Beratungsstellen nach § 3 Absatz 1 zur Gewährung von Beratungshilfe bestimmen.</w:t>
      </w:r>
    </w:p>
    <w:p>
      <w:r>
        <w:t xml:space="preserve">(4) Personen, die im Rahmen der öffentlichen Rechtsberatung beraten und über die Befähigung zum Richteramt verfügen, sind in gleicher Weise wie ein beauftragter Rechtsanwalt zur Verschwiegenheit verpflichtet und mit schriftlicher Zustimmung der Rechtsuchenden berechtigt, Auskünfte aus Akten zu erhalten und Akteneinsicht zu nehmen.</w:t>
      </w:r>
    </w:p>
    <w:p>
      <w:r>
        <w:rPr>
          <w:color w:val="555555"/>
          <w:sz w:val="17"/>
        </w:rPr>
        <w:t xml:space="preserve">Zitiervorschlag: § 12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