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BeratHiG — Grenzüberschreitende Unterhaltssachen</w:t>
      </w:r>
    </w:p>
    <w:p>
      <w:r>
        <w:rPr>
          <w:color w:val="555555"/>
          <w:sz w:val="18"/>
        </w:rPr>
        <w:t xml:space="preserve">Beratungshilfegesetz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Bei Unterhaltssachen nach der Verordnung (EG) Nr. 4/2009 des Rates vom 18. Dezember 2008 (ABl. L 7 vom 10.1.2009, S. 1) erfolgt die Gewährung der Beratungshilfe in den Fällen der Artikel 46 und 47 Absatz 2 dieser Verordnung unabhängig von den persönlichen und wirtschaftlichen Verhältnissen der Rechtsuchenden.</w:t>
      </w:r>
    </w:p>
    <w:p>
      <w:r>
        <w:t xml:space="preserve">(2) Für ausgehende Anträge in Unterhaltssachen auf grenzüberschreitende Beratungshilfe nach § 10 Absatz 1 ist das Amtsgericht am Sitz des Oberlandesgerichts, in dessen Bezirk die Rechtsuchenden ihren gewöhnlichen Aufenthalt haben, zuständig. Für eingehende Ersuchen ist das in § 4 Absatz 1 Satz 2 bezeichnete Gericht zuständig.</w:t>
      </w:r>
    </w:p>
    <w:p>
      <w:r>
        <w:rPr>
          <w:color w:val="555555"/>
          <w:sz w:val="17"/>
        </w:rPr>
        <w:t xml:space="preserve">Zitiervorschlag: § 10a BeratHiG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https://recht.nulegal.eu/gesetze/BeratHiG/10a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