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BerVersV 2017 — Allgemeine formgebundene Erläuterungen</w:t>
      </w:r>
    </w:p>
    <w:p>
      <w:r>
        <w:rPr>
          <w:color w:val="555555"/>
          <w:sz w:val="18"/>
        </w:rPr>
        <w:t xml:space="preserve">Versicherungsberichterstattungs-Verordnung</w:t>
      </w:r>
    </w:p>
    <w:p>
      <w:r>
        <w:rPr>
          <w:color w:val="555555"/>
          <w:sz w:val="18"/>
        </w:rPr>
        <w:t xml:space="preserve">Stand: 19.12.2024 (konsolidierte Textfassung, kein amtliches Inkrafttretensdatum)</w:t>
      </w:r>
    </w:p>
    <w:p>
      <w:r>
        <w:t xml:space="preserve">(1) Versicherungsunternehmen haben folgende formgebundene Erläuterungen zu erstellen:</w:t>
      </w:r>
    </w:p>
    <w:p>
      <w:pPr>
        <w:ind w:left="420"/>
      </w:pPr>
      <w:r>
        <w:t xml:space="preserve">1. Entwicklung der Kapitalanlagen gemäß Formular F.101.01,</w:t>
      </w:r>
    </w:p>
    <w:p>
      <w:pPr>
        <w:ind w:left="420"/>
      </w:pPr>
      <w:r>
        <w:t xml:space="preserve">2. Sicherungsvermögen und restliches Vermögen gemäß Formular F.103.01,</w:t>
      </w:r>
    </w:p>
    <w:p>
      <w:pPr>
        <w:ind w:left="420"/>
      </w:pPr>
      <w:r>
        <w:t xml:space="preserve">3. Erträge aus den Kapitalanlagen und Aufwendungen für die Kapitalanlagen gemäß Formular F.201.01,</w:t>
      </w:r>
    </w:p>
    <w:p>
      <w:pPr>
        <w:ind w:left="420"/>
      </w:pPr>
      <w:r>
        <w:t xml:space="preserve">4. Gliederung der in bestimmten Aufwandsposten der Gewinn- und Verlust-Rechnung ausgewiesenen Aufwendungen nach Aufwandsarten sowie Anzahl der Beschäftigten gemäß Formular F.202.01.</w:t>
      </w:r>
    </w:p>
    <w:p>
      <w:r>
        <w:t xml:space="preserve">(2) Pensions- und Sterbekassen, die kleinere Vereine im Sinne des § 210 Absatz 1 Satz 1 des Versicherungsaufsichtsgesetzes sind, haben die formgebundenen Erläuterungen gemäß Absatz 1 Nummer 2 nur für Geschäftsjahre zu erstellen, zu deren Abschlussstichtag eine versicherungsmathematische Berechnung der Deckungsrückstellung erfolgt.</w:t>
      </w:r>
    </w:p>
    <w:p>
      <w:r>
        <w:t xml:space="preserve">(3) Für Rückversicherungsunternehmen entfallen die formgebundenen Erläuterungen gemäß Absatz 1 Nummer 2.</w:t>
      </w:r>
    </w:p>
    <w:p>
      <w:r>
        <w:t xml:space="preserve">(4) Kleine Versicherungsunternehmen im Sinne des § 211 des Versicherungsaufsichtsgesetzes, Pensionskassen und Sterbekassen haben zusätzlich formgebundene Erläuterungen mit Angaben zu übernommenem und abgegebenem Versicherungsgeschäft gemäß Formular F.203.01 zu erstellen.</w:t>
      </w:r>
    </w:p>
    <w:p>
      <w:r>
        <w:rPr>
          <w:color w:val="555555"/>
          <w:sz w:val="17"/>
        </w:rPr>
        <w:t xml:space="preserve">Zitiervorschlag: § 9 BerVersV 2017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https://recht.nulegal.eu/gesetze/BerVersV%202017/9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