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BerVersV 2017 — Gesonderte Gewinn- und Verlust-Rechnungen der Pensionskassen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Pensionskassen haben zusätzlich jeweils gesonderte versicherungstechnische Gewinn- und Verlust-Rechnungen nach Formular F.200.01 aufzustellen, und zwar bis einschließlich Zeile ZE0690</w:t>
      </w:r>
    </w:p>
    <w:p>
      <w:pPr>
        <w:ind w:left="420"/>
      </w:pPr>
      <w:r>
        <w:t xml:space="preserve">1. für das gesamte inländische Versicherungsgeschäft,</w:t>
      </w:r>
    </w:p>
    <w:p>
      <w:pPr>
        <w:ind w:left="420"/>
      </w:pPr>
      <w:r>
        <w:t xml:space="preserve">2. für das gesamte ausländische Versicherungsgeschäft,</w:t>
      </w:r>
    </w:p>
    <w:p>
      <w:pPr>
        <w:ind w:left="420"/>
      </w:pPr>
      <w:r>
        <w:t xml:space="preserve">3. jeweils für das in einem anderen Mitglied- oder Vertragsstaat betriebene Versicherungsgeschäft.</w:t>
      </w:r>
    </w:p>
    <w:p>
      <w:r>
        <w:t xml:space="preserve">(2) § 3 Absatz 2 gilt entsprechend.</w:t>
      </w:r>
    </w:p>
    <w:p>
      <w:r>
        <w:rPr>
          <w:color w:val="555555"/>
          <w:sz w:val="17"/>
        </w:rPr>
        <w:t xml:space="preserve">Zitiervorschlag: § 7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