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BerVersV 2017 — Gesonderte Gewinn- und Verlust-Rechnungen der Rückversicherungsunternehmen</w:t>
      </w:r>
    </w:p>
    <w:p>
      <w:r>
        <w:rPr>
          <w:color w:val="555555"/>
          <w:sz w:val="18"/>
        </w:rPr>
        <w:t xml:space="preserve">Versicherungsberichterstattungs-Verordnung</w:t>
      </w:r>
    </w:p>
    <w:p>
      <w:r>
        <w:rPr>
          <w:color w:val="555555"/>
          <w:sz w:val="18"/>
        </w:rPr>
        <w:t xml:space="preserve">Stand: 19.12.2024 (konsolidierte Textfassung, kein amtliches Inkrafttretensdatum)</w:t>
      </w:r>
    </w:p>
    <w:p>
      <w:r>
        <w:t xml:space="preserve">Rückversicherungsunternehmen haben zusätzlich jeweils gesonderte versicherungstechnische Gewinn- und Verlust-Rechnungen nach Formular F.200.01 aufzustellen, und zwar</w:t>
      </w:r>
    </w:p>
    <w:p>
      <w:pPr>
        <w:ind w:left="420"/>
      </w:pPr>
      <w:r>
        <w:t xml:space="preserve">1. bis einschließlich Zeile ZE0690 für das gesamte von inländischen Vorversicherern in Rückdeckung übernommene Versicherungsgeschäft;</w:t>
      </w:r>
    </w:p>
    <w:p>
      <w:pPr>
        <w:ind w:left="420"/>
      </w:pPr>
      <w:r>
        <w:t xml:space="preserve">2. bis einschließlich Zeile ZE0690 für das gesamte von ausländischen Vorversicherern in Rückdeckung übernommene Versicherungsgeschäft;</w:t>
      </w:r>
    </w:p>
    <w:p>
      <w:pPr>
        <w:ind w:left="420"/>
      </w:pPr>
      <w:r>
        <w:t xml:space="preserve">3. bis einschließlich Zeile ZE1300 für die Versicherungsart Cyberversicherung Stand alone und für die folgenden Versicherungszweige:</w:t>
      </w:r>
    </w:p>
    <w:p>
      <w:pPr>
        <w:ind w:left="780"/>
      </w:pPr>
      <w:r>
        <w:t xml:space="preserve">a) Lebensversicherung,</w:t>
      </w:r>
    </w:p>
    <w:p>
      <w:pPr>
        <w:ind w:left="780"/>
      </w:pPr>
      <w:r>
        <w:t xml:space="preserve">b) Unfallversicherung,</w:t>
      </w:r>
    </w:p>
    <w:p>
      <w:pPr>
        <w:ind w:left="780"/>
      </w:pPr>
      <w:r>
        <w:t xml:space="preserve">c) Krankenversicherung,</w:t>
      </w:r>
    </w:p>
    <w:p>
      <w:pPr>
        <w:ind w:left="780"/>
      </w:pPr>
      <w:r>
        <w:t xml:space="preserve">d) Haftpflichtversicherung,</w:t>
      </w:r>
    </w:p>
    <w:p>
      <w:pPr>
        <w:ind w:left="780"/>
      </w:pPr>
      <w:r>
        <w:t xml:space="preserve">e) Luft- und Raumfahrt-Haftpflichtversicherung,</w:t>
      </w:r>
    </w:p>
    <w:p>
      <w:pPr>
        <w:ind w:left="780"/>
      </w:pPr>
      <w:r>
        <w:t xml:space="preserve">f) Kraftfahrtversicherung,</w:t>
      </w:r>
    </w:p>
    <w:p>
      <w:pPr>
        <w:ind w:left="780"/>
      </w:pPr>
      <w:r>
        <w:t xml:space="preserve">g) Feuerversicherung,</w:t>
      </w:r>
    </w:p>
    <w:p>
      <w:pPr>
        <w:ind w:left="780"/>
      </w:pPr>
      <w:r>
        <w:t xml:space="preserve">h) Transportversicherung,</w:t>
      </w:r>
    </w:p>
    <w:p>
      <w:pPr>
        <w:ind w:left="780"/>
      </w:pPr>
      <w:r>
        <w:t xml:space="preserve">i) Luftfahrtversicherung,</w:t>
      </w:r>
    </w:p>
    <w:p>
      <w:pPr>
        <w:ind w:left="780"/>
      </w:pPr>
      <w:r>
        <w:t xml:space="preserve">j) Kredit- und Kautionsversicherung,</w:t>
      </w:r>
    </w:p>
    <w:p>
      <w:pPr>
        <w:ind w:left="780"/>
      </w:pPr>
      <w:r>
        <w:t xml:space="preserve">k) Sonstige Sachversicherung;</w:t>
      </w:r>
    </w:p>
    <w:p>
      <w:pPr>
        <w:ind w:left="420"/>
      </w:pPr>
      <w:r>
        <w:t xml:space="preserve">4. bis einschließlich Zeile ZE1300 für den Versicherungszweig Sonstige Schadenversicherung.</w:t>
      </w:r>
    </w:p>
    <w:p>
      <w:r>
        <w:t xml:space="preserve">Unter „Sonstige Sachversicherung“ sind auch die Ergebnisse der Versicherungszweige „Verbundene Hausratversicherung“ und „Verbundene Wohngebäudeversicherung“ auszuweisen. Unter „Sonstige Schadenversicherung“ sind auch die versicherungstechnischen Ergebnisse der Versicherungszweige „Rechtsschutzversicherung“ und „Beistandsleistungsversicherung“ auszuweisen. Die gesonderten versicherungstechnischen Gewinn- und Verlust-Rechnungen gemäß Satz 1 entfallen, soweit ihre Aufstellung nach dem betriebenen Versicherungsgeschäft ausscheidet. § 4 Absatz 2 gilt entsprechend.</w:t>
      </w:r>
    </w:p>
    <w:p>
      <w:r>
        <w:rPr>
          <w:color w:val="555555"/>
          <w:sz w:val="17"/>
        </w:rPr>
        <w:t xml:space="preserve">Zitiervorschlag: § 6 BerVersV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https://recht.nulegal.eu/gesetze/BerVersV%202017/6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