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BerVersV 2017 — Gesonderte Gewinn- und Verlust-Rechnungen in besonderen Fällen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Lebensversicherungsunternehmen, die auch die selbst abgeschlossene Allgemeine Unfallversicherung betreiben, haben für diesen Versicherungszweig zusätzlich eine gesonderte versicherungstechnische Gewinn- und Verlust-Rechnung nach Formular F.200.01 bis einschließlich Zeile ZE1300 aufzustellen.</w:t>
      </w:r>
    </w:p>
    <w:p>
      <w:r>
        <w:t xml:space="preserve">(2) Schaden- und Unfallversicherungsunternehmen, die auch das selbst abgeschlossene Krankenversicherungsgeschäft betreiben, haben für diesen Versicherungszweig eine gesonderte Gewinn- und Verlust-Rechnung nach Formular F.200.01 bis einschließlich Zeile ZE1300 aufzustellen.</w:t>
      </w:r>
    </w:p>
    <w:p>
      <w:r>
        <w:rPr>
          <w:color w:val="555555"/>
          <w:sz w:val="17"/>
        </w:rPr>
        <w:t xml:space="preserve">Zitiervorschlag: § 5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