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BerVersV 2017 — Gesonderte Gewinn- und Verlust-Rechnungen der Schaden- und Unfallversicherungsunternehmen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Schaden- und Unfallversicherungsunternehmen haben zusätzlich jeweils gesonderte versicherungstechnische Gewinn- und Verlust-Rechnungen nach Formular F.200.01 aufzustellen, und zwar</w:t>
      </w:r>
    </w:p>
    <w:p>
      <w:pPr>
        <w:ind w:left="420"/>
      </w:pPr>
      <w:r>
        <w:t xml:space="preserve">1. bis einschließlich Zeile ZE1300</w:t>
      </w:r>
    </w:p>
    <w:p>
      <w:pPr>
        <w:ind w:left="780"/>
      </w:pPr>
      <w:r>
        <w:t xml:space="preserve">a) für das gesamte selbst abgeschlossene Versicherungsgeschäft,</w:t>
      </w:r>
    </w:p>
    <w:p>
      <w:pPr>
        <w:ind w:left="780"/>
      </w:pPr>
      <w:r>
        <w:t xml:space="preserve">b) für folgende Versicherungszweige des selbst abgeschlossenen Versicherungsgeschäfts:</w:t>
      </w:r>
    </w:p>
    <w:p>
      <w:pPr>
        <w:ind w:left="1140"/>
      </w:pPr>
      <w:r>
        <w:t xml:space="preserve">aa) Unfallversicherung,</w:t>
      </w:r>
    </w:p>
    <w:p>
      <w:pPr>
        <w:ind w:left="1140"/>
      </w:pPr>
      <w:r>
        <w:t xml:space="preserve">bb) Haftpflichtversicherung,</w:t>
      </w:r>
    </w:p>
    <w:p>
      <w:pPr>
        <w:ind w:left="1140"/>
      </w:pPr>
      <w:r>
        <w:t xml:space="preserve">cc) Luft- und Raumfahrt-Haftpflichtversicherung,</w:t>
      </w:r>
    </w:p>
    <w:p>
      <w:pPr>
        <w:ind w:left="1140"/>
      </w:pPr>
      <w:r>
        <w:t xml:space="preserve">dd) Kraftfahrtversicherung,</w:t>
      </w:r>
    </w:p>
    <w:p>
      <w:pPr>
        <w:ind w:left="1140"/>
      </w:pPr>
      <w:r>
        <w:t xml:space="preserve">ee) Feuerversicherung,</w:t>
      </w:r>
    </w:p>
    <w:p>
      <w:pPr>
        <w:ind w:left="1140"/>
      </w:pPr>
      <w:r>
        <w:t xml:space="preserve">ff) Verbundene Hausratversicherung,</w:t>
      </w:r>
    </w:p>
    <w:p>
      <w:pPr>
        <w:ind w:left="1140"/>
      </w:pPr>
      <w:r>
        <w:t xml:space="preserve">gg) Verbundene Wohngebäudeversicherung,</w:t>
      </w:r>
    </w:p>
    <w:p>
      <w:pPr>
        <w:ind w:left="1140"/>
      </w:pPr>
      <w:r>
        <w:t xml:space="preserve">hh) Transportversicherung,</w:t>
      </w:r>
    </w:p>
    <w:p>
      <w:pPr>
        <w:ind w:left="1140"/>
      </w:pPr>
      <w:r>
        <w:t xml:space="preserve">ii) Luftfahrtversicherung,</w:t>
      </w:r>
    </w:p>
    <w:p>
      <w:pPr>
        <w:ind w:left="1140"/>
      </w:pPr>
      <w:r>
        <w:t xml:space="preserve">jj) Kredit- und Kautionsversicherung,</w:t>
      </w:r>
    </w:p>
    <w:p>
      <w:pPr>
        <w:ind w:left="1140"/>
      </w:pPr>
      <w:r>
        <w:t xml:space="preserve">kk) Rechtsschutzversicherung,</w:t>
      </w:r>
    </w:p>
    <w:p>
      <w:pPr>
        <w:ind w:left="1140"/>
      </w:pPr>
      <w:r>
        <w:t xml:space="preserve">ll) Beistandsleistungsversicherung,</w:t>
      </w:r>
    </w:p>
    <w:p>
      <w:pPr>
        <w:ind w:left="1140"/>
      </w:pPr>
      <w:r>
        <w:t xml:space="preserve">mm) Sonstige Sachversicherung,</w:t>
      </w:r>
    </w:p>
    <w:p>
      <w:pPr>
        <w:ind w:left="780"/>
      </w:pPr>
      <w:r>
        <w:t xml:space="preserve">c) für folgende Versicherungsarten des selbst abgeschlossenen Versicherungsgeschäfts:</w:t>
      </w:r>
    </w:p>
    <w:p>
      <w:pPr>
        <w:ind w:left="1140"/>
      </w:pPr>
      <w:r>
        <w:t xml:space="preserve">aa) Kraftfahrzeug-Haftpflichtversicherungen,</w:t>
      </w:r>
    </w:p>
    <w:p>
      <w:pPr>
        <w:ind w:left="1140"/>
      </w:pPr>
      <w:r>
        <w:t xml:space="preserve">bb) Sonstige Kraftfahrtversicherungen,</w:t>
      </w:r>
    </w:p>
    <w:p>
      <w:pPr>
        <w:ind w:left="1140"/>
      </w:pPr>
      <w:r>
        <w:t xml:space="preserve">cc) Cyberversicherungen Stand alone,</w:t>
      </w:r>
    </w:p>
    <w:p>
      <w:pPr>
        <w:ind w:left="780"/>
      </w:pPr>
      <w:r>
        <w:t xml:space="preserve">d) für das gesamte in Rückdeckung übernommene Versicherungsgeschäft,</w:t>
      </w:r>
    </w:p>
    <w:p>
      <w:pPr>
        <w:ind w:left="780"/>
      </w:pPr>
      <w:r>
        <w:t xml:space="preserve">e) für jeden der unter Buchstabe b genannten Versicherungszweige sowie die Versicherungszweige Lebensversicherung und Krankenversicherung des in Rückdeckung übernommenen Versicherungsgeschäfts,</w:t>
      </w:r>
    </w:p>
    <w:p>
      <w:pPr>
        <w:ind w:left="780"/>
      </w:pPr>
      <w:r>
        <w:t xml:space="preserve">f) für das in Rückdeckung übernommene Versicherungsgeschäft in der in Buchstabe c Doppelbuchstabe cc genannten Versicherungsart;</w:t>
      </w:r>
    </w:p>
    <w:p>
      <w:pPr>
        <w:ind w:left="420"/>
      </w:pPr>
      <w:r>
        <w:t xml:space="preserve">2. bis einschließlich Zeile ZE1300 für das selbst abgeschlossene und für das in Rückdeckung übernommene Geschäft im Versicherungszweig „Sonstige Schadenversicherung“;</w:t>
      </w:r>
    </w:p>
    <w:p>
      <w:pPr>
        <w:ind w:left="420"/>
      </w:pPr>
      <w:r>
        <w:t xml:space="preserve">3. bis einschließlich Zeile ZE0690</w:t>
      </w:r>
    </w:p>
    <w:p>
      <w:pPr>
        <w:ind w:left="780"/>
      </w:pPr>
      <w:r>
        <w:t xml:space="preserve">a) für das gesamte inländische selbst abgeschlossene Versicherungsgeschäft,</w:t>
      </w:r>
    </w:p>
    <w:p>
      <w:pPr>
        <w:ind w:left="780"/>
      </w:pPr>
      <w:r>
        <w:t xml:space="preserve">b) für das gesamte ausländische selbst abgeschlossene Versicherungsgeschäft,</w:t>
      </w:r>
    </w:p>
    <w:p>
      <w:pPr>
        <w:ind w:left="780"/>
      </w:pPr>
      <w:r>
        <w:t xml:space="preserve">c) jeweils für das durch eine Niederlassung in einem anderen Mitglied- oder Vertragsstaat selbst abgeschlossene Versicherungsgeschäft,</w:t>
      </w:r>
    </w:p>
    <w:p>
      <w:pPr>
        <w:ind w:left="780"/>
      </w:pPr>
      <w:r>
        <w:t xml:space="preserve">d) für das in Rückdeckung übernommene Versicherungsgeschäft inländischer Vorversicherer,</w:t>
      </w:r>
    </w:p>
    <w:p>
      <w:pPr>
        <w:ind w:left="780"/>
      </w:pPr>
      <w:r>
        <w:t xml:space="preserve">e) für das in Rückdeckung übernommene Versicherungsgeschäft ausländischer Vorversicherer,</w:t>
      </w:r>
    </w:p>
    <w:p>
      <w:pPr>
        <w:ind w:left="780"/>
      </w:pPr>
      <w:r>
        <w:t xml:space="preserve">f) für die selbst abgeschlossenen Unfallversicherungen mit Beitragsrückgewähr.</w:t>
      </w:r>
    </w:p>
    <w:p>
      <w:r>
        <w:t xml:space="preserve">Die gesonderten versicherungstechnischen Gewinn- und Verlust-Rechnungen gemäß Satz 1 entfallen, soweit ihre Aufstellung nach dem betriebenen Versicherungsgeschäft ausscheidet.</w:t>
      </w:r>
    </w:p>
    <w:p>
      <w:r>
        <w:t xml:space="preserve">(2) Die gesonderten versicherungstechnischen Gewinn- und Verlust-Rechnungen für das selbst abgeschlossene und das in Rückdeckung übernommene Versicherungsgeschäft gemäß Absatz 1 Satz 1 Nummer 1 Buchstabe b und e können für einen Versicherungszweig entfallen, wenn</w:t>
      </w:r>
    </w:p>
    <w:p>
      <w:pPr>
        <w:ind w:left="420"/>
      </w:pPr>
      <w:r>
        <w:t xml:space="preserve">1. die gebuchten Bruttobeiträge des Versicherungszweigs nicht mehr als 125 000 Euro betragen und</w:t>
      </w:r>
    </w:p>
    <w:p>
      <w:pPr>
        <w:ind w:left="420"/>
      </w:pPr>
      <w:r>
        <w:t xml:space="preserve">2. es sich nicht um einen der drei beitragsmäßig größten Versicherungszweige des Versicherungsunternehmens handelt.</w:t>
      </w:r>
    </w:p>
    <w:p>
      <w:r>
        <w:t xml:space="preserve">Werden für einen Versicherungszweig keine gesonderten versicherungstechnischen Gewinn- und Verlust-Rechnungen aufgestellt, ist er in den gesonderten versicherungstechnischen Gewinn- und Verlust-Rechnungen nach Absatz 1 Satz 1 Nummer 2 mitzuerfassen. Satz 1 gilt entsprechend für die gesonderten versicherungstechnischen Gewinn- und Verlust-Rechnungen gemäß Absatz 1 Satz 1 Nummer 1 Buchstabe c und Nummer 3 Buchstabe c und f.</w:t>
      </w:r>
    </w:p>
    <w:p>
      <w:r>
        <w:t xml:space="preserve">(3) Zu den Schaden- und Unfallversicherungsunternehmen gehören alle Versicherungsunternehmen, die im selbst abgeschlossenen Versicherungsgeschäft einen oder mehrere der Versicherungszweige betreiben, die in der Anlage 1 Abschnitt C unter den Kennzahlen 03 bis 26 und 29 aufgeführt sind.</w:t>
      </w:r>
    </w:p>
    <w:p>
      <w:r>
        <w:rPr>
          <w:color w:val="555555"/>
          <w:sz w:val="17"/>
        </w:rPr>
        <w:t xml:space="preserve">Zitiervorschlag: § 4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