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BerVersV 2017 — Gesonderte Gewinn- und Verlust-Rechnungen der Lebens- und Krankenversicherungsunternehmen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Lebens- und Krankenversicherungsunternehmen haben zusätzlich jeweils gesonderte versicherungstechnische Gewinn- und Verlust-Rechnungen nach Formular F.200.01 aufzustellen, und zwar</w:t>
      </w:r>
    </w:p>
    <w:p>
      <w:pPr>
        <w:ind w:left="420"/>
      </w:pPr>
      <w:r>
        <w:t xml:space="preserve">1. bis einschließlich Zeile ZE1300</w:t>
      </w:r>
    </w:p>
    <w:p>
      <w:pPr>
        <w:ind w:left="780"/>
      </w:pPr>
      <w:r>
        <w:t xml:space="preserve">a) für das gesamte selbst abgeschlossene Versicherungsgeschäft,</w:t>
      </w:r>
    </w:p>
    <w:p>
      <w:pPr>
        <w:ind w:left="780"/>
      </w:pPr>
      <w:r>
        <w:t xml:space="preserve">b) für das gesamte in Rückdeckung übernommene Versicherungsgeschäft;</w:t>
      </w:r>
    </w:p>
    <w:p>
      <w:pPr>
        <w:ind w:left="420"/>
      </w:pPr>
      <w:r>
        <w:t xml:space="preserve">2. bis einschließlich Zeile ZE0690</w:t>
      </w:r>
    </w:p>
    <w:p>
      <w:pPr>
        <w:ind w:left="780"/>
      </w:pPr>
      <w:r>
        <w:t xml:space="preserve">a) für das gesamte inländische und das im Wege des Dienstleistungsverkehrs gemäß § 57 Absatz 3 und 4 des Versicherungsaufsichtsgesetzes selbst abgeschlossene ausländische Versicherungsgeschäft,</w:t>
      </w:r>
    </w:p>
    <w:p>
      <w:pPr>
        <w:ind w:left="780"/>
      </w:pPr>
      <w:r>
        <w:t xml:space="preserve">b) für das gesamte durch Niederlassungen im Ausland selbst abgeschlossene Versicherungsgeschäft,</w:t>
      </w:r>
    </w:p>
    <w:p>
      <w:pPr>
        <w:ind w:left="780"/>
      </w:pPr>
      <w:r>
        <w:t xml:space="preserve">c) jeweils für das durch eine Niederlassung in einem anderen Mitglied- oder Vertragsstaat selbst abgeschlossene Versicherungsgeschäft.</w:t>
      </w:r>
    </w:p>
    <w:p>
      <w:r>
        <w:t xml:space="preserve">Die gesonderten versicherungstechnischen Gewinn- und Verlust-Rechnungen gemäß Satz 1 entfallen, soweit ihre Aufstellung nach dem betriebenen Versicherungsgeschäft ausscheidet.</w:t>
      </w:r>
    </w:p>
    <w:p>
      <w:r>
        <w:t xml:space="preserve">(2) Die gesonderte versicherungstechnische Gewinn- und Verlust-Rechnung für das durch eine Niederlassung in einem anderen Mitglied- oder Vertragsstaat selbst abgeschlossene Versicherungsgeschäft gemäß Absatz 1 Satz 1 Nummer 2 Buchstabe c kann entfallen, sofern die gebuchten Bruttobeiträge der Niederlassung nicht mehr als 500 000 Euro betragen.</w:t>
      </w:r>
    </w:p>
    <w:p>
      <w:r>
        <w:rPr>
          <w:color w:val="555555"/>
          <w:sz w:val="17"/>
        </w:rPr>
        <w:t xml:space="preserve">Zitiervorschlag: § 3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