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BerVersV 2017 — Ordnungswidrigkeiten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332 Absatz 2 Nummer 2 des Versicherungsaufsichtsgesetzes handelt, wer als Mitglied des Vorstands, als Hauptbevollmächtigter nach § 68 Absatz 2 des Versicherungsaufsichtsgesetzes oder als Liquidator eines Versicherungsunternehmens vorsätzlich oder leichtfertig</w:t>
      </w:r>
    </w:p>
    <w:p>
      <w:pPr>
        <w:ind w:left="420"/>
      </w:pPr>
      <w:r>
        <w:t xml:space="preserve">1. entgegen § 1 Absatz 1 oder § 18 Absatz 1 einen Bericht nicht, nicht richtig, nicht vollständig oder nicht rechtzeitig vorlegt oder</w:t>
      </w:r>
    </w:p>
    <w:p>
      <w:pPr>
        <w:ind w:left="420"/>
      </w:pPr>
      <w:r>
        <w:t xml:space="preserve">2. entgegen § 19 Absatz 1 Satz 1 eine Angabe nicht, nicht richtig, nicht vollständig oder nicht rechtzeitig vorlegt.</w:t>
      </w:r>
    </w:p>
    <w:p>
      <w:r>
        <w:rPr>
          <w:color w:val="555555"/>
          <w:sz w:val="17"/>
        </w:rPr>
        <w:t xml:space="preserve">Zitiervorschlag: § 25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BerVersV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