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BerVersV 2017 — Anwendung der Formulare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Bei der Verwendung der Formulare sind die sich aus Anlage 2 Abschnitt A und B ergebenden Anmerkungen und Abkürzungen zu beachten.</w:t>
      </w:r>
    </w:p>
    <w:p>
      <w:r>
        <w:t xml:space="preserve">(2) Bei der Erstellung der Formulare ist Anlage 2 Abschnitt C zu beachten.</w:t>
      </w:r>
    </w:p>
    <w:p>
      <w:r>
        <w:rPr>
          <w:color w:val="555555"/>
          <w:sz w:val="17"/>
        </w:rPr>
        <w:t xml:space="preserve">Zitiervorschlag: § 24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BerVersV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