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BerVersV 2017 — Anzuwendende Vorschriften</w:t>
      </w:r>
    </w:p>
    <w:p>
      <w:r>
        <w:rPr>
          <w:color w:val="555555"/>
          <w:sz w:val="18"/>
        </w:rPr>
        <w:t xml:space="preserve">Versicherungsberichterstattungs-Verordnung</w:t>
      </w:r>
    </w:p>
    <w:p>
      <w:r>
        <w:rPr>
          <w:color w:val="555555"/>
          <w:sz w:val="18"/>
        </w:rPr>
        <w:t xml:space="preserve">Stand: 19.12.2024 (konsolidierte Textfassung, kein amtliches Inkrafttretensdatum)</w:t>
      </w:r>
    </w:p>
    <w:p>
      <w:r>
        <w:t xml:space="preserve">(1) Für die in § 21 genannten Versicherungsunternehmen gelten lediglich die §§ 1, 2, 8, 9 Absatz 1, 2 und 4, § 11 Nummer 1 bis 5, § 12 Absatz 1 Nummer 1 und 2, § 13 Absatz 1 Nummer 1 und 2, § 15 Absatz 1 bis 3, § 16 Absatz 1 Satz 1 Nummer 1, 2, 3 Buchstabe a, Satz 2 und Absatz 2, § 17 sowie die §§ 23 bis 27. Dabei gilt die Maßgabe, dass</w:t>
      </w:r>
    </w:p>
    <w:p>
      <w:pPr>
        <w:ind w:left="420"/>
      </w:pPr>
      <w:r>
        <w:t xml:space="preserve">1. in den §§ 2 und 8 das Formular F.300.01 an die Stelle des Formulars F.200.01 tritt,</w:t>
      </w:r>
    </w:p>
    <w:p>
      <w:pPr>
        <w:ind w:left="420"/>
      </w:pPr>
      <w:r>
        <w:t xml:space="preserve">2. in § 12 Absatz 1 Nummer 2 und in § 15 Absatz 1 Satz 1 Nummer 3 das Formular F.330.01 an die Stelle des Formulars F.230.01 tritt und</w:t>
      </w:r>
    </w:p>
    <w:p>
      <w:pPr>
        <w:ind w:left="420"/>
      </w:pPr>
      <w:r>
        <w:t xml:space="preserve">3. in § 13 Absatz 1 Nummer 2 und in § 15 Absatz 1 Satz 1 Nummer 5 das Formular F.342.01 an die Stelle des Formulars F.242.01 tritt.</w:t>
      </w:r>
    </w:p>
    <w:p>
      <w:r>
        <w:t xml:space="preserve">(2) Schaden- und Unfallversicherungsvereine haben für das selbst abgeschlossene Versicherungsgeschäft zusätzlich gesonderte versicherungstechnische Gewinn- und Verlust-Rechnungen nach Formular F.300.01 aufzustellen, und zwar bis einschließlich Zeile ZE0750 für den Versicherungszweig „Sonstige Schadenversicherung“ und für jeden Versicherungszweig, der in § 4 Absatz 1 Nummer 1 Buchstabe b genannt ist und</w:t>
      </w:r>
    </w:p>
    <w:p>
      <w:pPr>
        <w:ind w:left="420"/>
      </w:pPr>
      <w:r>
        <w:t xml:space="preserve">1. gebuchte Bruttobeiträge von mehr als 125 000 Euro aufweist oder</w:t>
      </w:r>
    </w:p>
    <w:p>
      <w:pPr>
        <w:ind w:left="420"/>
      </w:pPr>
      <w:r>
        <w:t xml:space="preserve">2. zu den drei beitragsmäßig größten Versicherungszweigen des Unternehmens zählt.</w:t>
      </w:r>
    </w:p>
    <w:p>
      <w:r>
        <w:t xml:space="preserve">§ 4 Absatz 1 Satz 2 und Absatz 2 Satz 2 gilt entsprechend.</w:t>
      </w:r>
    </w:p>
    <w:p>
      <w:r>
        <w:rPr>
          <w:color w:val="555555"/>
          <w:sz w:val="17"/>
        </w:rPr>
        <w:t xml:space="preserve">Zitiervorschlag: § 22 BerVersV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https://recht.nulegal.eu/gesetze/BerVersV%202017/22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