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BerVersV 2017 — Bilanz und Gewinn- und Verlust-Rechnung aller Versicherungsunternehmen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Die Versicherungsunternehmen haben ihre Bilanz und ihre Gewinn- und Verlust-Rechnung gegenüber der Bundesanstalt wie folgt darzustellen:</w:t>
      </w:r>
    </w:p>
    <w:p>
      <w:pPr>
        <w:ind w:left="420"/>
      </w:pPr>
      <w:r>
        <w:t xml:space="preserve">1. die Bilanz nach Formular F.100.01,</w:t>
      </w:r>
    </w:p>
    <w:p>
      <w:pPr>
        <w:ind w:left="420"/>
      </w:pPr>
      <w:r>
        <w:t xml:space="preserve">2. die Gewinn- und Verlust-Rechnung für das gesamte Versicherungsgeschäft nach Formular F.200.01.</w:t>
      </w:r>
    </w:p>
    <w:p>
      <w:r>
        <w:rPr>
          <w:color w:val="555555"/>
          <w:sz w:val="17"/>
        </w:rPr>
        <w:t xml:space="preserve">Zitiervorschlag: § 2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