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BerVersV 2017 — Umfang der Berichterstattung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(1) Versicherungsunternehmen mit Sitz im Inland, die der Aufsicht durch die Bundesanstalt unterliegen, haben der Bundesanstalt vierteljährlich innerhalb der Frist nach § 20 die Angaben zur Geschäftsentwicklung mit den Inhalten nach Satz 2 vorzulegen. Die Berichterstattung erfolgt</w:t>
      </w:r>
    </w:p>
    <w:p>
      <w:pPr>
        <w:ind w:left="420"/>
      </w:pPr>
      <w:r>
        <w:t xml:space="preserve">1. gemäß Formular F.601.01 durch Lebensversicherungsunternehmen,</w:t>
      </w:r>
    </w:p>
    <w:p>
      <w:pPr>
        <w:ind w:left="420"/>
      </w:pPr>
      <w:r>
        <w:t xml:space="preserve">2. gemäß Formular F.602.01 durch Pensionskassen,</w:t>
      </w:r>
    </w:p>
    <w:p>
      <w:pPr>
        <w:ind w:left="420"/>
      </w:pPr>
      <w:r>
        <w:t xml:space="preserve">3. gemäß Formular F.603.01 durch Krankenversicherungsunternehmen und</w:t>
      </w:r>
    </w:p>
    <w:p>
      <w:pPr>
        <w:ind w:left="420"/>
      </w:pPr>
      <w:r>
        <w:t xml:space="preserve">4. gemäß Formular F.604.01 durch Schaden- und Unfallversicherungsunternehmen sowie durch Rückversicherungsunternehmen.</w:t>
      </w:r>
    </w:p>
    <w:p>
      <w:r>
        <w:t xml:space="preserve">(2) Für die Formulare F.601.01 bis F.604.01 gelten die in Anlage 3 festgelegten Muster.</w:t>
      </w:r>
    </w:p>
    <w:p>
      <w:r>
        <w:rPr>
          <w:color w:val="555555"/>
          <w:sz w:val="17"/>
        </w:rPr>
        <w:t xml:space="preserve">Zitiervorschlag: § 19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