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BerVersV 2017 — Fristen für die Einreichung</w:t>
      </w:r>
    </w:p>
    <w:p>
      <w:r>
        <w:rPr>
          <w:color w:val="555555"/>
          <w:sz w:val="18"/>
        </w:rPr>
        <w:t xml:space="preserve">Versicherungsberichterstattungs-Verordnung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(1) Die folgenden formgebundenen Erläuterungen gemäß den §§ 9 bis 14 sind der Bundesanstalt spätestens vier Monate nach Schluss des Geschäftsjahres einzureichen:</w:t>
      </w:r>
    </w:p>
    <w:p>
      <w:pPr>
        <w:ind w:left="420"/>
      </w:pPr>
      <w:r>
        <w:t xml:space="preserve">1. die Formulare F.101.01, F.103.01, F.201.01 und F.202.01 von allen Versicherungsunternehmen, soweit sie zu erstellen sind,</w:t>
      </w:r>
    </w:p>
    <w:p>
      <w:pPr>
        <w:ind w:left="420"/>
      </w:pPr>
      <w:r>
        <w:t xml:space="preserve">2. die Formulare F.210.01 bis F.212.01 von den Lebensversicherungsunternehmen,</w:t>
      </w:r>
    </w:p>
    <w:p>
      <w:pPr>
        <w:ind w:left="420"/>
      </w:pPr>
      <w:r>
        <w:t xml:space="preserve">3. das Formular F.230.01 von den Krankenversicherungsunternehmen,</w:t>
      </w:r>
    </w:p>
    <w:p>
      <w:pPr>
        <w:ind w:left="420"/>
      </w:pPr>
      <w:r>
        <w:t xml:space="preserve">4. das Formular F.203.01 von den kleinen Versicherungsunternehmen, den Pensionskassen und den Sterbekassen,</w:t>
      </w:r>
    </w:p>
    <w:p>
      <w:pPr>
        <w:ind w:left="420"/>
      </w:pPr>
      <w:r>
        <w:t xml:space="preserve">5. die Formulare F.240.01, F.242.01, F.243.01, F.246.01 und F.247.01 von den Schaden- und Unfallversicherungsunternehmen,</w:t>
      </w:r>
    </w:p>
    <w:p>
      <w:pPr>
        <w:ind w:left="420"/>
      </w:pPr>
      <w:r>
        <w:t xml:space="preserve">6. das Formular F.252.01 von den Rückversicherungsunternehmen.</w:t>
      </w:r>
    </w:p>
    <w:p>
      <w:r>
        <w:t xml:space="preserve">Abweichend von Satz 1 haben kleine Versicherungsunternehmen im Sinne des § 211 des Versicherungsaufsichtsgesetzes, Pensionskassen, Sterbekassen und Rückversicherungsunternehmen in Abwicklung der Bundesanstalt diese Formulare spätestens fünf Monate nach Schluss des Geschäftsjahres einzureichen.</w:t>
      </w:r>
    </w:p>
    <w:p>
      <w:r>
        <w:t xml:space="preserve">(2) Die folgenden formgebundenen Erläuterungen gemäß den §§ 9 bis 14 sind der Bundesanstalt spätestens sechs Monate nach Schluss des Geschäftsjahres einzureichen:</w:t>
      </w:r>
    </w:p>
    <w:p>
      <w:pPr>
        <w:ind w:left="420"/>
      </w:pPr>
      <w:r>
        <w:t xml:space="preserve">1. die Formulare F.110.01 bis F.113.01, F.213.01 bis F.219.01, F.030.01 und F.030.02 von den Lebensversicherungsunternehmen,</w:t>
      </w:r>
    </w:p>
    <w:p>
      <w:pPr>
        <w:ind w:left="420"/>
      </w:pPr>
      <w:r>
        <w:t xml:space="preserve">2. die Formulare F.120.01, F.121.01, F.220.01, F.221.01, F.222.01, F.265.01 von den Pensions- und Sterbekassen,</w:t>
      </w:r>
    </w:p>
    <w:p>
      <w:pPr>
        <w:ind w:left="420"/>
      </w:pPr>
      <w:r>
        <w:t xml:space="preserve">3. die Formulare F.130.01 und F.231.01 bis F.238.01 von den Krankenversicherungsunternehmen.</w:t>
      </w:r>
    </w:p>
    <w:p>
      <w:r>
        <w:t xml:space="preserve">(3) Das Formular F.271.01 gemäß § 11 Nummer 7 ist der Bundesanstalt von den Pensionskassen spätestens sieben Monate nach Schluss des Geschäftsjahres einzureichen. Die in § 17 Satz 2 genannten Pensionskassen müssen das Formular F.271.01 nur für die Geschäftsjahre einreichen, für die sie auch ein versicherungsmathematisches Gutachten im Sinne von § 17 einreichen.</w:t>
      </w:r>
    </w:p>
    <w:p>
      <w:r>
        <w:t xml:space="preserve">(4) Für Rückversicherungsunternehmen gilt die gleiche Vorlagefrist wie für Erstversicherungsunternehmen, sofern sie den Jahresabschluss innerhalb der von Erstversicherungsunternehmen gemäß § 341a Absatz 1 des Handelsgesetzbuchs einzuhaltenden Frist aufstellen; ansonsten verlängert sich die in Absatz 1 genannte Frist um jeweils sechs Monate, sofern der Abschlussstichtag der 31. Dezember ist.</w:t>
      </w:r>
    </w:p>
    <w:p>
      <w:r>
        <w:rPr>
          <w:color w:val="555555"/>
          <w:sz w:val="17"/>
        </w:rPr>
        <w:t xml:space="preserve">Zitiervorschlag: § 15 BerVersV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https://recht.nulegal.eu/gesetze/BerVersV%202017/15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BerVersV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