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BerRehaG — Anrechnungsfreiheit, Unpfändbarkeit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Ausgleichsleistungen nach diesem Abschnitt werden bei Sozialleistungen, deren Gewährung vom Einkommen abhängig ist, nicht als Einkommen angerechnet.</w:t>
      </w:r>
    </w:p>
    <w:p>
      <w:r>
        <w:t xml:space="preserve">(2) Der Anspruch auf die Ausgleichsleistungen ist unpfändbar.</w:t>
      </w:r>
    </w:p>
    <w:p>
      <w:r>
        <w:rPr>
          <w:color w:val="555555"/>
          <w:sz w:val="17"/>
        </w:rPr>
        <w:t xml:space="preserve">Zitiervorschlag: § 9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