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BerRehaG — Ausschließungsgründe</w:t>
      </w:r>
    </w:p>
    <w:p>
      <w:r>
        <w:rPr>
          <w:color w:val="555555"/>
          <w:sz w:val="18"/>
        </w:rPr>
        <w:t xml:space="preserve">Berufliches Rehabilitierungsgesetz</w:t>
      </w:r>
    </w:p>
    <w:p>
      <w:r>
        <w:rPr>
          <w:color w:val="555555"/>
          <w:sz w:val="18"/>
        </w:rPr>
        <w:t xml:space="preserve">Stand: 10.06.2019 (konsolidierte Textfassung, kein amtliches Inkrafttretensdatum)</w:t>
      </w:r>
    </w:p>
    <w:p>
      <w:r>
        <w:t xml:space="preserve">Leistungen nach diesem Gesetz werden nicht gewährt, wenn der Verfolgte gegen die Grundsätze der Menschlichkeit oder Rechtsstaatlichkeit verstoßen oder in schwerwiegendem Maße seine Stellung zum eigenen Vorteil oder zum Nachteil anderer mißbraucht hat.</w:t>
      </w:r>
    </w:p>
    <w:p>
      <w:r>
        <w:rPr>
          <w:color w:val="555555"/>
          <w:sz w:val="17"/>
        </w:rPr>
        <w:t xml:space="preserve">Zitiervorschlag: § 4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