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 BerRehaG — Kosten für Leistungen nach dem Zweiten Abschnitt</w:t>
      </w:r>
    </w:p>
    <w:p>
      <w:r>
        <w:rPr>
          <w:color w:val="555555"/>
          <w:sz w:val="18"/>
        </w:rPr>
        <w:t xml:space="preserve">Berufliches Rehabilitierungsgesetz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Von den Aufwendungen, die den Ländern durch Geldleistungen nach dem Zweiten Abschnitt entstehen, trägt der Bund 60 vom Hundert.</w:t>
      </w:r>
    </w:p>
    <w:p>
      <w:r>
        <w:t xml:space="preserve">(2) Verwaltungskosten werden nicht erstattet.</w:t>
      </w:r>
    </w:p>
    <w:p>
      <w:r>
        <w:rPr>
          <w:color w:val="555555"/>
          <w:sz w:val="17"/>
        </w:rPr>
        <w:t xml:space="preserve">Zitiervorschlag: § 28 BerRehaG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https://recht.nulegal.eu/gesetze/BerRehaG/28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