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BerRehaG — Verfolgungszeit</w:t>
      </w:r>
    </w:p>
    <w:p>
      <w:r>
        <w:rPr>
          <w:color w:val="555555"/>
          <w:sz w:val="18"/>
        </w:rPr>
        <w:t xml:space="preserve">Berufliches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Verfolgungszeit ist</w:t>
      </w:r>
    </w:p>
    <w:p>
      <w:pPr>
        <w:ind w:left="420"/>
      </w:pPr>
      <w:r>
        <w:t xml:space="preserve">1. der gemäß § 1 Abs. 2 festgestellte Zeitraum einer zu Unrecht erlittenen Freiheitsentziehung oder eines Gewahrsams sowie</w:t>
      </w:r>
    </w:p>
    <w:p>
      <w:pPr>
        <w:ind w:left="420"/>
      </w:pPr>
      <w:r>
        <w:t xml:space="preserve">2. die Zeit, in der der Verfolgte auf Grund einer Maßnahme nach § 1 Abs. 1 Nr. 3 oder 4 oder als Folge einer Maßnahme nach § 1 Abs. 1 Nr. 1 oder 2 seine bisherige oder eine angestrebte Erwerbstätigkeit nicht ausgeübt oder ein geringeres Einkommen als aus der bisherigen Erwerbstätigkeit erzielt hat.</w:t>
      </w:r>
    </w:p>
    <w:p>
      <w:r>
        <w:t xml:space="preserve">Die Verfolgungszeit nach Satz 1 Nr. 2 endet mit dem Verlassen des Beitrittsgebiets, spätestens mit Ablauf des 2. Oktober 1990.</w:t>
      </w:r>
    </w:p>
    <w:p>
      <w:r>
        <w:t xml:space="preserve">(2) Die Zeit, während derer der Verfolgte das Fortwirken der beruflichen Benachteiligung zu vertreten hat, ist keine Verfolgungszeit.</w:t>
      </w:r>
    </w:p>
    <w:p>
      <w:r>
        <w:rPr>
          <w:color w:val="555555"/>
          <w:sz w:val="17"/>
        </w:rPr>
        <w:t xml:space="preserve">Zitiervorschlag: § 2 BerRehaG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https://recht.nulegal.eu/gesetze/BerRehaG/2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