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BerRehaG — Vorläufige Rehabilitierungsbescheinigung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Erfordert die Erteilung einer Bescheinigung nach § 17 Abs. 1 voraussichtlich längere Zeit, kann die Rehabilitierungsbehörde als Grundlage für Leistungen nach dem Zweiten oder Dritten Abschnitt oder für die Anwendung des § 60 Nr. 1 des Bundesausbildungsförderungsgesetzes eine vorläufige Bescheinigung erteilen. Diese Bescheinigung hat die Angaben nach § 22 Abs. 1 Nr. 1 bis 3 oder § 22 Abs. 2 Nr. 1 und 2 zu enthalten.</w:t>
      </w:r>
    </w:p>
    <w:p>
      <w:r>
        <w:t xml:space="preserve">(2) In den Fällen des Absatzes 1 ist die Verfolgteneigenschaft oder die Verfolgung als Schüler glaubhaft zu machen. Die Rehabilitierungsbehörde kann zu diesem Zweck auch eine Versicherung an Eides Statt verlangen und abnehmen.</w:t>
      </w:r>
    </w:p>
    <w:p>
      <w:r>
        <w:rPr>
          <w:color w:val="555555"/>
          <w:sz w:val="17"/>
        </w:rPr>
        <w:t xml:space="preserve">Zitiervorschlag: § 18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