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BerRehaG — Durchschnittseinkommen für Verfolgungszeiten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Ermittlung des beitragspflichtigen Durchschnittseinkommens der letzten 20 Jahre vor Ende der letzten versicherungspflichtigen Tätigkeit sind für Verfolgungszeiten die nach § 13 ermittelten Beitragsbemessungsgrundlagen, geteilt durch die Werte der Anlage 10 zum Sechsten Buch Sozialgesetzbuch, höchstens 600 Mark monatlich, zugrunde zu legen.</w:t>
      </w:r>
    </w:p>
    <w:p>
      <w:r>
        <w:t xml:space="preserve">(2) Bei der Ermittlung des durch Beiträge zur FZR versicherten Durchschnittseinkommens sind für Verfolgungszeiten die nach § 13 ermittelten Beitragsbemessungsgrundlagen, geteilt durch die Werte der Anlage 10 zum Sechsten Buch Sozialgesetzbuch, zugrunde zu legen, soweit sie 600 Mark monatlich übersteigen.</w:t>
      </w:r>
    </w:p>
    <w:p>
      <w:r>
        <w:t xml:space="preserve">(3) § 309 Abs. 1a des Sechsten Buches Sozialgesetzbuch findet entsprechende Anwendung.</w:t>
      </w:r>
    </w:p>
    <w:p>
      <w:r>
        <w:rPr>
          <w:color w:val="555555"/>
          <w:sz w:val="17"/>
        </w:rPr>
        <w:t xml:space="preserve">Zitiervorschlag: § 15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