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11a BerRehaG — Kindererziehungszeiten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Anrechnung oder Berücksichtigung von Kindererziehung gelten Verfolgungszeiten nach § 2 Absatz 1 Satz 1 Nummer 1 als Zeiten der Erziehung eines Kindes nach dem Sechsten Buch Sozialgesetzbuch, wenn in diesen Verfolgungszeiten das Kind wegen einer Maßnahme nach § 1 Absatz 1 Nummer 1 oder Nummer 2 nicht erzogen werden konnte. Dabei bleibt außer Betracht, dass bei einer anderen Person für dasselbe Kind die Kindererziehung anzurechnen oder zu berücksichtigen ist. Die Anrechnung oder Berücksichtigung nach Satz 1 lässt die Anrechnung oder Berücksichtigung der Kindererziehung nach dem Sechsten Buch Sozialgesetzbuch für diejenige Person, die das Kind erzogen hat, unberührt.</w:t>
      </w:r>
    </w:p>
    <w:p>
      <w:r>
        <w:t xml:space="preserve">(2) Eine Rente ist auf Antrag von Beginn an neu festzustellen und zu leisten, wenn Kindererziehung nach Absatz 1 Satz 1 anzurechnen oder zu berücksichtigen ist und der Rentenbeginn vor dem 1. Januar 2019 liegt.</w:t>
      </w:r>
    </w:p>
    <w:p>
      <w:r>
        <w:t xml:space="preserve">(3) Für die Anrechnung oder Berücksichtigung von Kindererziehung gilt im Sinne von § 1 Absatz 1 als Verfolgter, wer in dem in § 1 Absatz 1 genannten Zeitraum wegen einer Maßnahme nach § 1 Absatz 1 Nummer 1 oder Nummer 2 als Elternteil nach § 56 Absatz 1 Satz 2 des Sechsten Buches Sozialgesetzbuch ein Kind nicht erziehen konnte. § 1 Absatz 2 gilt entsprechend.</w:t>
      </w:r>
    </w:p>
    <w:p>
      <w:r>
        <w:rPr>
          <w:color w:val="555555"/>
          <w:sz w:val="17"/>
        </w:rPr>
        <w:t xml:space="preserve">Zitiervorschlag: § 11a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https://recht.nulegal.eu/gesetze/BerRehaG/11a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