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BerRehaG — Allgemeines</w:t>
      </w:r>
    </w:p>
    <w:p>
      <w:r>
        <w:rPr>
          <w:color w:val="555555"/>
          <w:sz w:val="18"/>
        </w:rPr>
        <w:t xml:space="preserve">Berufliches Rehabilitierungsgesetz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dieses Abschnitts ergänzen zugunsten des Verfolgten die allgemein anzuwendenden rentenrechtlichen Vorschriften. Leistungen nach diesem Abschnitt werden auf Antrag erbracht; im Einzelfall können sie auch von Amts wegen erbracht werden.</w:t>
      </w:r>
    </w:p>
    <w:p>
      <w:r>
        <w:rPr>
          <w:color w:val="555555"/>
          <w:sz w:val="17"/>
        </w:rPr>
        <w:t xml:space="preserve">Zitiervorschlag: § 10 BerRehaG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https://recht.nulegal.eu/gesetze/BerRehaG/10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