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BerHFV — Vereinfachter Antrag</w:t>
      </w:r>
    </w:p>
    <w:p>
      <w:r>
        <w:rPr>
          <w:color w:val="555555"/>
          <w:sz w:val="18"/>
        </w:rPr>
        <w:t xml:space="preserve">Beratungshilfeformularverordnung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Rechtsuchender, der nach dem Zwölften Buch Sozialgesetzbuch laufende Leistungen zum Lebensunterhalt bezieht, muss die Abschnitte C bis G des Formulars nach § 1 Nummer 1 vorbehaltlich einer anderweitigen Anordnung des Amtsgerichts nicht ausfüllen, wenn er der Erklärung den zum Zeitpunkt der Antragstellung gültigen Bewilligungsbescheid des Sozialamts beifügt.</w:t>
      </w:r>
    </w:p>
    <w:p>
      <w:r>
        <w:rPr>
          <w:color w:val="555555"/>
          <w:sz w:val="17"/>
        </w:rPr>
        <w:t xml:space="preserve">Zitiervorschlag: § 2 BerHFV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https://recht.nulegal.eu/gesetze/BerHFV/2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