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BerHFV — Formulare</w:t>
      </w:r>
    </w:p>
    <w:p>
      <w:r>
        <w:rPr>
          <w:color w:val="555555"/>
          <w:sz w:val="18"/>
        </w:rPr>
        <w:t xml:space="preserve">Beratungshilfeformularverordnung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Im Bereich der Beratungshilfe sind zu verwenden:</w:t>
      </w:r>
    </w:p>
    <w:p>
      <w:pPr>
        <w:ind w:left="420"/>
      </w:pPr>
      <w:r>
        <w:t xml:space="preserve">1. vom Rechtsuchenden für den Antrag auf Gewährung von Beratungshilfe das in Anlage 1 bestimmte Formular mit Hinweisblatt, falls der Rechtsuchende eine natürliche Person ist und den Antrag nicht vor der Geschäftsstelle zu Protokoll erklärt,</w:t>
      </w:r>
    </w:p>
    <w:p>
      <w:pPr>
        <w:ind w:left="420"/>
      </w:pPr>
      <w:r>
        <w:t xml:space="preserve">2. von der Beratungsperson für ihren Antrag auf Zahlung einer Vergütung das in Anlage 2 bestimmte Formular.</w:t>
      </w:r>
    </w:p>
    <w:p>
      <w:r>
        <w:rPr>
          <w:color w:val="555555"/>
          <w:sz w:val="17"/>
        </w:rPr>
        <w:t xml:space="preserve">Zitiervorschlag: § 1 BerHFV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https://recht.nulegal.eu/gesetze/BerHFV/1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