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BelWertV — Grundlagen der Ertragswertermittlung</w:t>
      </w:r>
    </w:p>
    <w:p>
      <w:r>
        <w:rPr>
          <w:color w:val="555555"/>
          <w:sz w:val="18"/>
        </w:rPr>
        <w:t xml:space="preserve">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Ertragswertverfahren ist der Ertragswert der baulichen Anlage, getrennt von dem Bodenwert, nach den §§ 9 bis 12 zu ermitteln.</w:t>
      </w:r>
    </w:p>
    <w:p>
      <w:r>
        <w:t xml:space="preserve">(2) Der Bodenwert ist nach § 15 zu ermitteln.</w:t>
      </w:r>
    </w:p>
    <w:p>
      <w:r>
        <w:t xml:space="preserve">(3) Bodenwert und Ertragswert der baulichen Anlage ergeben vorbehaltlich § 13 den Ertragswert des Beleihungsobjekts.</w:t>
      </w:r>
    </w:p>
    <w:p>
      <w:r>
        <w:rPr>
          <w:color w:val="555555"/>
          <w:sz w:val="17"/>
        </w:rPr>
        <w:t xml:space="preserve">Zitiervorschlag: § 8 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https://recht.nulegal.eu/gesetze/BelWertV/8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