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BelWertV — Gutachter</w:t>
      </w:r>
    </w:p>
    <w:p>
      <w:r>
        <w:rPr>
          <w:color w:val="555555"/>
          <w:sz w:val="18"/>
        </w:rPr>
        <w:t xml:space="preserve">Beleihungswertermittlungsverordnung</w:t>
      </w:r>
    </w:p>
    <w:p>
      <w:r>
        <w:rPr>
          <w:color w:val="555555"/>
          <w:sz w:val="18"/>
        </w:rPr>
        <w:t xml:space="preserve">Stand: 10.06.2019 (konsolidierte Textfassung, kein amtliches Inkrafttretensdatum)</w:t>
      </w:r>
    </w:p>
    <w:p>
      <w:r>
        <w:t xml:space="preserve">Der Gutachter muss nach seiner Ausbildung und beruflichen Tätigkeit über besondere Kenntnisse und Erfahrungen auf dem Gebiet der Bewertung von Immobilien verfügen; eine entsprechende Qualifikation wird bei Personen, die von einer staatlichen, staatlich anerkannten oder nach DIN EN ISO/IEC 17024 akkreditierten Stelle als Sachverständige oder Gutachter für die Wertermittlung von Immobilien bestellt oder zertifiziert worden sind, vermutet. Bei der Auswahl des Gutachters hat sich die Pfandbriefbank davon zu überzeugen, dass der Gutachter neben langjähriger Berufserfahrung in der Wertermittlung von Immobilien speziell über die zur Erstellung von Beleihungswertgutachten notwendigen Kenntnisse, insbesondere bezüglich des jeweiligen Immobilienmarkts und der Objektart, verfügt.</w:t>
      </w:r>
    </w:p>
    <w:p>
      <w:r>
        <w:rPr>
          <w:color w:val="555555"/>
          <w:sz w:val="17"/>
        </w:rPr>
        <w:t xml:space="preserve">Zitiervorschlag: § 6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