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BelWertV — Gutachten</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Der Beleihungswert ist mittels eines Gutachtens zu ermitteln. Das zu bewertende Objekt ist im Rahmen der Wertermittlung zu besichtigen.</w:t>
      </w:r>
    </w:p>
    <w:p>
      <w:r>
        <w:t xml:space="preserve">(2) Das Gutachten muss durch einen oder mehrere Gutachter erstellt werden, die von der Pfandbriefbank allgemein oder von Fall zu Fall bestimmt werden. In besonderen Fällen, etwa im Rahmen von Kooperationen oder bei Portfoliokäufen, können für andere Kreditinstitute oder Versicherungsunternehmen erstellte Gutachten zugrunde gelegt werden, wenn</w:t>
      </w:r>
    </w:p>
    <w:p>
      <w:pPr>
        <w:ind w:left="420"/>
      </w:pPr>
      <w:r>
        <w:t xml:space="preserve">1. diese Gutachten den Bestimmungen dieser Verordnung entsprechen,</w:t>
      </w:r>
    </w:p>
    <w:p>
      <w:pPr>
        <w:ind w:left="420"/>
      </w:pPr>
      <w:r>
        <w:t xml:space="preserve">2. ein nicht mit der Kreditentscheidung befasster, fachkundiger Mitarbeiter der Pfandbriefbank eine Plausibilitätsprüfung, auch im Hinblick auf die einzelnen angesetzten Bewertungsparameter, durchführt und</w:t>
      </w:r>
    </w:p>
    <w:p>
      <w:pPr>
        <w:ind w:left="420"/>
      </w:pPr>
      <w:r>
        <w:t xml:space="preserve">3. das Ergebnis der Plausibilitätsprüfung dokumentiert wird.</w:t>
      </w:r>
    </w:p>
    <w:p>
      <w:r>
        <w:t xml:space="preserve">Gutachten, die vom Darlehensnehmer vorgelegt oder in Auftrag gegeben worden sind, dürfen nicht zugrunde gelegt werden.</w:t>
      </w:r>
    </w:p>
    <w:p>
      <w:r>
        <w:t xml:space="preserve">(3) Das Gutachten muss zur Objekt- und Standortqualität, zum regionalen Immobilienmarkt, zu den rechtlichen und tatsächlichen Objekteigenschaften und zur Beleihungsfähigkeit des Objekts, seiner Verwertbarkeit und Vermietbarkeit Stellung nehmen. Das Gutachten hat sich auch damit auseinander zu setzen, ob für die begutachtete Immobilie ein genügend großer potenzieller Käufer- und Nutzerkreis besteht und somit die nachhaltige Ertragsfähigkeit der Immobilie oder die dauerhafte Nachfrage von Eigennutzern anhand ihrer vielseitigen Verwendbarkeit und ihrer ausreichenden Nutzbarkeit durch Dritte gewährleistet ist; ein im Zeitablauf zu erwartender Wertverlust ist darzustellen und insbesondere bei der Bemessung des Modernisierungsrisikos (§ 11 Abs. 7) und der Restnutzungsdauer (§ 12 Abs. 2) zu berücksichtigen. Die wesentlichen Objektdaten, Bewertungsparameter und getroffenen Annahmen sind nachvollziehbar darzulegen und zu begründen.</w:t>
      </w:r>
    </w:p>
    <w:p>
      <w:r>
        <w:t xml:space="preserve">(4) Alle den Ertragswert, den Sachwert oder den Vergleichswert beeinflussenden Umstände, insbesondere etwaige Nutzungsbeschränkungen, Mieterdienstbarkeiten und andere Dienstbarkeiten, Duldungspflichten, Vorkaufsrechte, Sanierungsvermerke, Baulasten und alle sonstigen Beschränkungen und Lasten sind zu nennen, zu beachten und gegebenenfalls wertmindernd zu berücksichtigen.</w:t>
      </w:r>
    </w:p>
    <w:p>
      <w:r>
        <w:rPr>
          <w:color w:val="555555"/>
          <w:sz w:val="17"/>
        </w:rPr>
        <w:t xml:space="preserve">Zitiervorschlag: § 5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