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BelWertV — Grundsatz der Beleihungswertermittlung</w:t>
      </w:r>
    </w:p>
    <w:p>
      <w:r>
        <w:rPr>
          <w:color w:val="555555"/>
          <w:sz w:val="18"/>
        </w:rPr>
        <w:t xml:space="preserve">Beleihungswertermittlungsverordnung</w:t>
      </w:r>
    </w:p>
    <w:p>
      <w:r>
        <w:rPr>
          <w:color w:val="555555"/>
          <w:sz w:val="18"/>
        </w:rPr>
        <w:t xml:space="preserve">Stand: 12.10.2022 (konsolidierte Textfassung, kein amtliches Inkrafttretensdatum)</w:t>
      </w:r>
    </w:p>
    <w:p>
      <w:r>
        <w:t xml:space="preserve">(1) Der Wert, der der Beleihung zugrunde gelegt wird (Beleihungswert), ist der Wert der Immobilie, der erfahrungsgemäß unabhängig von vorübergehenden, etwa konjunkturell bedingten Wertschwankungen am maßgeblichen Grundstücksmarkt und unter Ausschaltung von spekulativen Elementen während der gesamten Dauer der Beleihung bei einer Veräußerung voraussichtlich erzielt werden kann.</w:t>
      </w:r>
    </w:p>
    <w:p>
      <w:r>
        <w:t xml:space="preserve">(2) Zur Ermittlung des Beleihungswerts ist die zukünftige Verkäuflichkeit der Immobilie unter Berücksichtigung der langfristigen, nachhaltigen Merkmale des Objekts, der normalen regionalen Marktgegebenheiten sowie der derzeitigen und möglichen anderweitigen Nutzungen im Rahmen einer vorsichtigen Bewertung zugrunde zu legen. Die Feststellung nachhaltiger Merkmale des Objekts und deren Einflussgrößen auf die Bewertung bedarf dabei einer langfristigen Betrachtung der Marktgegebenheiten. Der betrachtete Zeitraum ist zu benennen und seine Angemessenheit nachvollziehbar darzulegen.</w:t>
      </w:r>
    </w:p>
    <w:p>
      <w:r>
        <w:rPr>
          <w:color w:val="555555"/>
          <w:sz w:val="17"/>
        </w:rPr>
        <w:t xml:space="preserve">Zitiervorschlag: § 3 BelWertV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https://recht.nulegal.eu/gesetze/BelWertV/3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