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BelWertV — Inkrafttreten, Übergangsvorschriften</w:t>
      </w:r>
    </w:p>
    <w:p>
      <w:r>
        <w:rPr>
          <w:color w:val="555555"/>
          <w:sz w:val="18"/>
        </w:rPr>
        <w:t xml:space="preserve">Beleihungswertermittlungsverordnung</w:t>
      </w:r>
    </w:p>
    <w:p>
      <w:r>
        <w:rPr>
          <w:color w:val="555555"/>
          <w:sz w:val="18"/>
        </w:rPr>
        <w:t xml:space="preserve">Stand: 12.10.2022 (konsolidierte Textfassung, kein amtliches Inkrafttretensdatum)</w:t>
      </w:r>
    </w:p>
    <w:p>
      <w:r>
        <w:t xml:space="preserve">(1) Diese Verordnung tritt am 1. August 2006 in Kraft.</w:t>
      </w:r>
    </w:p>
    <w:p>
      <w:r>
        <w:t xml:space="preserve">(2) Für Beleihungswertermittlungen, die auf Grundlage der bis zum 7. Oktober 2022 geltenden Fassung dieser Verordnung erfolgt sind, dürfen auch nach diesem Zeitpunkt die Vorschriften der vorbezeichneten Fassung dieser Verordnung, ab 9. Oktober 2022 mit Ausnahme des § 26 Absatz 1, weiterhin zugrunde gelegt werden. Die Bundesanstalt gibt auf ihrer Internetseite unverzüglich nach dem 8. Oktober 2022 die bis zu einer Anpassung nach § 12 Absatz 4 Satz 2 maßgeblichen Mindestkapitalisierungszinssätze nach § 12 Absatz 4 Satz 1 auf der Grundlage der für den 30. September 2022 von der Deutschen Bundesbank veröffentlichten Rendite 30-jähriger Bundesanleihen bekannt.</w:t>
      </w:r>
    </w:p>
    <w:p>
      <w:r>
        <w:rPr>
          <w:color w:val="555555"/>
          <w:sz w:val="17"/>
        </w:rPr>
        <w:t xml:space="preserve">Zitiervorschlag: § 28 BelWertV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https://recht.nulegal.eu/gesetze/BelWertV/28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