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BelWertV — Wohnwirtschaftlich genutzte Objekte bei Vergabe von Kleindarlehen</w:t>
      </w:r>
    </w:p>
    <w:p>
      <w:r>
        <w:rPr>
          <w:color w:val="555555"/>
          <w:sz w:val="18"/>
        </w:rPr>
        <w:t xml:space="preserve">Beleihungswertermittlungsverordnung</w:t>
      </w:r>
    </w:p>
    <w:p>
      <w:r>
        <w:rPr>
          <w:color w:val="555555"/>
          <w:sz w:val="18"/>
        </w:rPr>
        <w:t xml:space="preserve">Stand: 12.10.2022 (konsolidierte Textfassung, kein amtliches Inkrafttretensdatum)</w:t>
      </w:r>
    </w:p>
    <w:p>
      <w:r>
        <w:t xml:space="preserve">(1) Bei der Beleihung eines im Inland gelegenen wohnwirtschaftlich genutzten Objekts kann auf die Erstellung eines Gutachtens nach § 5 verzichtet werden, wenn der auf dem Objekt abzusichernde Darlehensbetrag unter Einbeziehung aller Vorlasten den Betrag von 600 000 Euro nicht übersteigt. Bei einer teilweise gewerblichen Nutzung des Objekts darf jedoch der darauf entfallende Ertragsanteil ein Drittel des Rohertrags nicht überschreiten. Anstelle des Gutachtens ist eine vereinfachte Wertermittlung zu erstellen oder erstellen zu lassen, die den übrigen Anforderungen dieser Verordnung genügen muss.</w:t>
      </w:r>
    </w:p>
    <w:p>
      <w:r>
        <w:t xml:space="preserve">(2) Die Person, die im Falle des Absatzes 1 die Wertermittlung durchführt und erstellt, muss für die Beleihungswertermittlung der dort genannten Objekte ausreichend geschult und qualifiziert sein. Sie darf nicht identisch sein mit der Person, die die abschließende Kreditentscheidung trifft oder den Beleihungswert festsetzt; § 7 Abs. 1 Satz 2 gilt entsprechend. Die Pfandbriefbank hat die Ordnungsmäßigkeit der Wertermittlungen mittels einer in regelmäßigen Abständen durch Gutachter vorzunehmenden Überprüfung einer hinreichend großen Zahl repräsentativer Stichproben sicherzustellen; § 19 Absatz 2 Satz 3 und die §§ 6 und 7 sind entsprechend anzuwenden.</w:t>
      </w:r>
    </w:p>
    <w:p>
      <w:r>
        <w:t xml:space="preserve">(3) Abweichend von § 5 Absatz 1 Satz 2 kann in Fällen des Absatzes 1 eine Besichtigung des zu bewertenden Objekts dann unterbleiben, wenn</w:t>
      </w:r>
    </w:p>
    <w:p>
      <w:pPr>
        <w:ind w:left="420"/>
      </w:pPr>
      <w:r>
        <w:t xml:space="preserve">1. das Objekt der Pfandbriefbank oder dem mit der Pfandbriefbank kooperierenden Kreditinstitut oder Versicherungsunternehmen bereits bekannt ist, wobei Bekanntheit nur dann angenommen werden kann, wenn das Objekt in den letzten beiden Jahren von einem Mitarbeiter der Pfandbriefbank oder des kooperierenden Kreditinstituts oder Versicherungsunternehmens oder im Auftrag der Pfandbriefbank oder des kooperierenden Kreditinstituts oder Versicherungsunternehmens besichtigt worden ist,</w:t>
      </w:r>
    </w:p>
    <w:p>
      <w:pPr>
        <w:ind w:left="420"/>
      </w:pPr>
      <w:r>
        <w:t xml:space="preserve">2. es sich um die Beleihung einer Eigentumswohnung handelt, die in einem Gebäude belegen ist, in dem die Pfandbriefbank bereits zumindest eine gleichartige Wohnung innerhalb der letzten zwei Jahre besichtigt hat,</w:t>
      </w:r>
    </w:p>
    <w:p>
      <w:pPr>
        <w:ind w:left="420"/>
      </w:pPr>
      <w:r>
        <w:t xml:space="preserve">3. bei Beleihung eines in einer Siedlung von gleichartigen Einfamilienhäusern belegenen Einfamilienhauses die Pfandbriefbank zumindest ein gleichartiges Objekt in dieser Siedlung innerhalb der letzten zwei Jahre besichtigt hat,</w:t>
      </w:r>
    </w:p>
    <w:p>
      <w:pPr>
        <w:ind w:left="420"/>
      </w:pPr>
      <w:r>
        <w:t xml:space="preserve">4. bei Beleihung eines neu errichteten Fertighauses der Pfandbriefbank oder dem kooperierenden Kreditinstitut oder Versicherungsunternehmen der Bauplatz bekannt ist und das Fertighaus nach Art und Typus anhand des Katalogs des Herstellers eindeutig bestimmt werden kann oder</w:t>
      </w:r>
    </w:p>
    <w:p>
      <w:pPr>
        <w:ind w:left="420"/>
      </w:pPr>
      <w:r>
        <w:t xml:space="preserve">5. stattdessen eine Ansicht des zu bewertenden Objekts, für das eine Restnutzungsdauer von mindestens 40 Jahren zu erwarten sein muss, per Videoübertragung vorgenommen wird, sofern</w:t>
      </w:r>
    </w:p>
    <w:p>
      <w:pPr>
        <w:ind w:left="780"/>
      </w:pPr>
      <w:r>
        <w:t xml:space="preserve">a) der Wertermittler dabei einen zumindest annähernd vollständigen Einblick der gesamten Immobilie, ihres Zustands und ihres Umfelds erhält,</w:t>
      </w:r>
    </w:p>
    <w:p>
      <w:pPr>
        <w:ind w:left="780"/>
      </w:pPr>
      <w:r>
        <w:t xml:space="preserve">b) die per Videoübertragung durchgeführte Ansicht der Immobilie hinsichtlich Umfang und Erkenntnissen sowie mittels einer Fotosammlung (Bildschirmfotos) dokumentiert wird und</w:t>
      </w:r>
    </w:p>
    <w:p>
      <w:pPr>
        <w:ind w:left="780"/>
      </w:pPr>
      <w:r>
        <w:t xml:space="preserve">c) auf das Ergebnis der Beleihungswertermittlung ein Abschlag in Höhe von mindestens 5 Prozent vorgenommen wird.</w:t>
      </w:r>
    </w:p>
    <w:p>
      <w:r>
        <w:t xml:space="preserve">Die Gründe für das Unterbleiben der Besichtigung sind in nachvollziehbarer Weise zu dokumentieren.</w:t>
      </w:r>
    </w:p>
    <w:p>
      <w:r>
        <w:t xml:space="preserve">(3a) Abweichend von § 5 Absatz 1 Satz 2 kann in den Fällen des Absatzes 1 auf eine Innenbesichtigung des zu bewertenden Objekts verzichtet werden, wenn der Person, die die Wertermittlung durchführt, die wesentlichen Bewertungsparameter hinreichend bekannt sind und</w:t>
      </w:r>
    </w:p>
    <w:p>
      <w:pPr>
        <w:ind w:left="420"/>
      </w:pPr>
      <w:r>
        <w:t xml:space="preserve">1. die Immobilie innerhalb der letzten zehn Jahre fertiggestellt worden ist, oder</w:t>
      </w:r>
    </w:p>
    <w:p>
      <w:pPr>
        <w:ind w:left="420"/>
      </w:pPr>
      <w:r>
        <w:t xml:space="preserve">2. ein Abschlag in Höhe von mindestens 10 Prozent auf das Ergebnis der Beleihungswertermittlung vorgenommen wird.</w:t>
      </w:r>
    </w:p>
    <w:p>
      <w:r>
        <w:t xml:space="preserve">Die Gründe für den Verzicht auf die Innenbesichtigung sind nachvollziehbar zu dokumentieren.</w:t>
      </w:r>
    </w:p>
    <w:p>
      <w:r>
        <w:t xml:space="preserve">(4) Bei Erwerb einer Vielzahl von Darlehensforderungen im Sinne des Absatzes 1 von anderen Kreditinstituten oder Versicherungsunternehmen können von diesen oder für diese erstellte vereinfachte Wertermittlungen zugrunde gelegt werden, wenn</w:t>
      </w:r>
    </w:p>
    <w:p>
      <w:pPr>
        <w:ind w:left="420"/>
      </w:pPr>
      <w:r>
        <w:t xml:space="preserve">1. diese Wertermittlungen den Bestimmungen des Absatzes 1 Satz 3 und des Absatzes 2 Satz 1 und 2 entsprechen,</w:t>
      </w:r>
    </w:p>
    <w:p>
      <w:pPr>
        <w:ind w:left="420"/>
      </w:pPr>
      <w:r>
        <w:t xml:space="preserve">2. ein nicht mit der Kreditentscheidung befasster, fachkundiger Mitarbeiter der Pfandbriefbank eine Plausibilitätsprüfung, auch im Hinblick auf die einzelnen angesetzten Bewertungsparameter, durchführt und</w:t>
      </w:r>
    </w:p>
    <w:p>
      <w:pPr>
        <w:ind w:left="420"/>
      </w:pPr>
      <w:r>
        <w:t xml:space="preserve">3. das Ergebnis der Plausibilitätsprüfung dokumentiert wird.</w:t>
      </w:r>
    </w:p>
    <w:p>
      <w:r>
        <w:t xml:space="preserve">Die nach Satz 1 Nr. 2 erforderliche Plausibilitätsprüfung kann auf eine repräsentative, das erworbene Portfolio regional und objektmäßig abbildende Anzahl von Bewertungen beschränkt werden. Ergibt sich hierbei, dass die seinerzeit ermittelten Werte der Beleihungsobjekte nicht nur in Einzelfällen zu hoch angesetzt worden sind oder ergeben sich sonstige Zweifel bezüglich der Angemessenheit der ermittelten Werte, so ist in Abhängigkeit vom Ergebnis der Überprüfung die Stichprobe angemessen auszuweiten oder eine Einzelprüfung aller Bewertungen für bestimmte Regionen oder Objekttypen oder eine vollständige Neubewertung bestimmter oder aller Beleihungsobjekte nach Absatz 1 Satz 3 in Verbindung mit Absatz 2 Satz 1 und 2 durchzuführen. Die Wertermittlungen nach Satz 1 sind in die nach Absatz 2 Satz 3 vorzunehmende Überprüfung einzubeziehen.</w:t>
      </w:r>
    </w:p>
    <w:p>
      <w:r>
        <w:rPr>
          <w:color w:val="555555"/>
          <w:sz w:val="17"/>
        </w:rPr>
        <w:t xml:space="preserve">Zitiervorschlag: § 24 BelWertV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https://recht.nulegal.eu/gesetze/BelWertV/24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