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BelWertV — Maschinen und Betriebseinrichtungen</w:t>
      </w:r>
    </w:p>
    <w:p>
      <w:r>
        <w:rPr>
          <w:color w:val="555555"/>
          <w:sz w:val="18"/>
        </w:rPr>
        <w:t xml:space="preserve">Beleihungswertermittlungsverordnung</w:t>
      </w:r>
    </w:p>
    <w:p>
      <w:r>
        <w:rPr>
          <w:color w:val="555555"/>
          <w:sz w:val="18"/>
        </w:rPr>
        <w:t xml:space="preserve">Stand: 12.10.2022 (konsolidierte Textfassung, kein amtliches Inkrafttretensdatum)</w:t>
      </w:r>
    </w:p>
    <w:p>
      <w:r>
        <w:t xml:space="preserve">Maschinen und Betriebseinrichtungen sind bei der Ermittlung des Sachwerts grundsätzlich unberücksichtigt zu lassen, sofern sie nicht wesentliche Bestandteile des Gegenstands der Beleihungswertermittlung im Sinne des § 2 sind. Der Wert solcher wesentlichen Bestandteile ist, wenn sich das Grundpfandrecht darauf erstreckt, unter Berücksichtigung einer normalen Abschreibung und ausreichender Abschläge für Abnutzung und technische Entwertung gesondert zu schätzen.</w:t>
      </w:r>
    </w:p>
    <w:p>
      <w:r>
        <w:rPr>
          <w:color w:val="555555"/>
          <w:sz w:val="17"/>
        </w:rPr>
        <w:t xml:space="preserve">Zitiervorschlag: § 23 BelWertV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https://recht.nulegal.eu/gesetze/BelWertV/23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