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BelWertV — Landwirtschaftlich genutzte Grundstücke</w:t>
      </w:r>
    </w:p>
    <w:p>
      <w:r>
        <w:rPr>
          <w:color w:val="555555"/>
          <w:sz w:val="18"/>
        </w:rPr>
        <w:t xml:space="preserve">Beleihungswertermittlungsverordnung</w:t>
      </w:r>
    </w:p>
    <w:p>
      <w:r>
        <w:rPr>
          <w:color w:val="555555"/>
          <w:sz w:val="18"/>
        </w:rPr>
        <w:t xml:space="preserve">Stand: 12.10.2022 (konsolidierte Textfassung, kein amtliches Inkrafttretensdatum)</w:t>
      </w:r>
    </w:p>
    <w:p>
      <w:r>
        <w:t xml:space="preserve">(1) Landwirtschaftlich genutzte Grundstücke sind solche, deren überwiegender Teil des Rohertrags durch land- oder forstwirtschaftliche Nutzung erzielt wird.</w:t>
      </w:r>
    </w:p>
    <w:p>
      <w:r>
        <w:t xml:space="preserve">(2) Im Falle unbebauter Grundstücke (Acker, Grünland, Obst- und Weinbauflächen, Wald) ist der Wert der Grundstücke unter Berücksichtigung der vorgefundenen Grundstücksmerkmale aus geeigneten Vergleichspreisen abzuleiten; § 15 ist entsprechend anzuwenden. Dabei sind Art, Struktur und Größe des Grundstücks im Hinblick auf regionale Gegebenheiten unter besonderer Berücksichtigung der Bodenqualität und der klimatischen Bedingungen im Gutachten besonders zu würdigen und bei der Ableitung des Bodenwerts zu berücksichtigen.</w:t>
      </w:r>
    </w:p>
    <w:p>
      <w:r>
        <w:t xml:space="preserve">(3) Sofern bebaute Grundstücke bei der Bewertung einbezogen werden sollen, kann den Gebäuden ein eigenständiger Wert nur dann beigemessen werden, wenn sie selbständig und auch außerhalb des jeweiligen landwirtschaftlichen Betriebs genutzt werden können.</w:t>
      </w:r>
    </w:p>
    <w:p>
      <w:r>
        <w:rPr>
          <w:color w:val="555555"/>
          <w:sz w:val="17"/>
        </w:rPr>
        <w:t xml:space="preserve">Zitiervorschlag: § 22 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https://recht.nulegal.eu/gesetze/BelWertV/22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