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BelWertV — Erbbaurechte und andere grundstücksgleiche Rechte</w:t>
      </w:r>
    </w:p>
    <w:p>
      <w:r>
        <w:rPr>
          <w:color w:val="555555"/>
          <w:sz w:val="18"/>
        </w:rPr>
        <w:t xml:space="preserve">Beleihungswertermittlungsverordnung</w:t>
      </w:r>
    </w:p>
    <w:p>
      <w:r>
        <w:rPr>
          <w:color w:val="555555"/>
          <w:sz w:val="18"/>
        </w:rPr>
        <w:t xml:space="preserve">Stand: 10.06.2019 (konsolidierte Textfassung, kein amtliches Inkrafttretensdatum)</w:t>
      </w:r>
    </w:p>
    <w:p>
      <w:r>
        <w:t xml:space="preserve">Bei der Beleihung von Erbbaurechten ist die Restlaufzeit des Erbbaurechts zu berücksichtigen. Sich aus dem Erbbaurecht ergebenden Einschränkungen ist durch angemessene Wertabschläge ausreichend Rechnung zu tragen. Im Gutachten ist darzulegen, ob und wie lange das Erbbaurecht im Hinblick auf seine Laufzeit und die bei seiner Beendigung für das Bauwerk vereinbarte Entschädigungsregelung angemessen verwertbar erscheint. Die Regelung gilt für andere grundstücksgleiche Rechte und solche Rechte einer ausländischen Rechtsordnung, die den grundstücksgleichen Rechten deutschen Rechts vergleichbar sind, entsprechend.</w:t>
      </w:r>
    </w:p>
    <w:p>
      <w:r>
        <w:rPr>
          <w:color w:val="555555"/>
          <w:sz w:val="17"/>
        </w:rPr>
        <w:t xml:space="preserve">Zitiervorschlag: § 21 BelWertV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https://recht.nulegal.eu/gesetze/BelWertV/21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