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BelWertV — Ermittlung des Vergleichswerts</w:t>
      </w:r>
    </w:p>
    <w:p>
      <w:r>
        <w:rPr>
          <w:color w:val="555555"/>
          <w:sz w:val="18"/>
        </w:rPr>
        <w:t xml:space="preserve">Beleihungswertermittlungsverordnung</w:t>
      </w:r>
    </w:p>
    <w:p>
      <w:r>
        <w:rPr>
          <w:color w:val="555555"/>
          <w:sz w:val="18"/>
        </w:rPr>
        <w:t xml:space="preserve">Stand: 12.10.2022 (konsolidierte Textfassung, kein amtliches Inkrafttretensdatum)</w:t>
      </w:r>
    </w:p>
    <w:p>
      <w:r>
        <w:t xml:space="preserve">(1) Zur Ermittlung des Vergleichswerts sind nachhaltig erzielbare Vergleichspreise von Objekten heranzuziehen, die hinsichtlich der maßgeblich ihren Wert beeinflussenden Merkmale, insbesondere Lage, Ausstattung und Nutzungsmöglichkeiten, mit dem zu bewertenden Objekt hinreichend übereinstimmen; die Vergleichspreise können aus Kaufpreis- oder anderen Marktdatensammlungen entnommen werden. Von dem so ermittelten Ausgangswert ist ein Sicherheitsabschlag in Höhe von mindestens 10 Prozent in Abzug zu bringen.</w:t>
      </w:r>
    </w:p>
    <w:p>
      <w:r>
        <w:t xml:space="preserve">(2) Unbeschadet des Absatzes 1 Satz 2 kann bei Ein- und Zweifamilienhäusern sowie Wohnungseigentum die Ermittlung des Vergleichswerts auch unter Nutzung computerunterstützter datenbankbasierter Bewertungsmodelle erfolgen, wenn deren Geeignetheit und die zugrunde liegenden, auf Basis geeigneter statistischer Modelle nachvollziehbar abgeleiteten Daten mindestens jährlich durch eine vom Systemanbieter und Datenbankanbieter unabhängige qualifizierte Stelle validiert werden. Die Bewertungsergebnisse sind zudem in regelmäßigen Abständen im Rahmen einer Qualitätssicherung durch die Pfandbriefbank zu überprüfen; § 24 Absatz 2 Satz 3 gilt mit der Maßgabe entsprechend, dass für die Überprüfung bei Beleihungen von Ein- und Zweifamilienhäusern das Sachwertverfahren heranzuziehen ist. Die Stichproben müssen insbesondere auch nach Art und regionaler Belegenheit der Objekte repräsentativ sein.</w:t>
      </w:r>
    </w:p>
    <w:p>
      <w:r>
        <w:rPr>
          <w:color w:val="555555"/>
          <w:sz w:val="17"/>
        </w:rPr>
        <w:t xml:space="preserve">Zitiervorschlag: § 19 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https://recht.nulegal.eu/gesetze/BelWertV/19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