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BelWertV — Wertminderung wegen Alters</w:t>
      </w:r>
    </w:p>
    <w:p>
      <w:r>
        <w:rPr>
          <w:color w:val="555555"/>
          <w:sz w:val="18"/>
        </w:rPr>
        <w:t xml:space="preserve">Beleihungswertermittlungsverordnung</w:t>
      </w:r>
    </w:p>
    <w:p>
      <w:r>
        <w:rPr>
          <w:color w:val="555555"/>
          <w:sz w:val="18"/>
        </w:rPr>
        <w:t xml:space="preserve">Stand: 10.06.2019 (konsolidierte Textfassung, kein amtliches Inkrafttretensdatum)</w:t>
      </w:r>
    </w:p>
    <w:p>
      <w:r>
        <w:t xml:space="preserve">(1) Die Wertminderung wegen Alters bestimmt sich nach dem Verhältnis der Restnutzungsdauer zur Nutzungsdauer der baulichen Anlage; sie ist in einem Prozentsatz des Herstellungswerts auszudrücken. Bei der Bestimmung der Wertminderung kann je nach Art und Nutzung der baulichen Anlage von einer gleichmäßigen oder von einer mit zunehmendem Alter sich verändernden Wertminderung ausgegangen werden.</w:t>
      </w:r>
    </w:p>
    <w:p>
      <w:r>
        <w:t xml:space="preserve">(2) Ist die bei ordnungsgemäßem Gebrauch übliche Nutzungsdauer der baulichen Anlage durch Instandsetzungen oder Modernisierungen verlängert worden oder haben unterlassene Instandhaltung oder andere Gegebenheiten zu einer Verkürzung der Restnutzungsdauer geführt, soll der Bestimmung der Wertminderung wegen Alters die geänderte Restnutzungsdauer und die für die bauliche Anlage übliche Nutzungsdauer zugrunde gelegt werden.</w:t>
      </w:r>
    </w:p>
    <w:p>
      <w:r>
        <w:rPr>
          <w:color w:val="555555"/>
          <w:sz w:val="17"/>
        </w:rPr>
        <w:t xml:space="preserve">Zitiervorschlag: § 17 BelWertV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https://recht.nulegal.eu/gesetze/BelWertV/17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