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BelWertV — Rohertrag</w:t>
      </w:r>
    </w:p>
    <w:p>
      <w:r>
        <w:rPr>
          <w:color w:val="555555"/>
          <w:sz w:val="18"/>
        </w:rPr>
        <w:t xml:space="preserve">Beleihungswertermittlungsverordnung</w:t>
      </w:r>
    </w:p>
    <w:p>
      <w:r>
        <w:rPr>
          <w:color w:val="555555"/>
          <w:sz w:val="18"/>
        </w:rPr>
        <w:t xml:space="preserve">Stand: 12.10.2022 (konsolidierte Textfassung, kein amtliches Inkrafttretensdatum)</w:t>
      </w:r>
    </w:p>
    <w:p>
      <w:r>
        <w:t xml:space="preserve">(1) Bei der Ermittlung des Rohertrags darf nur der Ertrag berücksichtigt werden, den das Objekt bei ordnungsgemäßer Bewirtschaftung und zulässiger Nutzung jedem Eigentümer nachhaltig gewähren kann. Liegt die nachhaltige Miete über der vertraglich vereinbarten Miete, ist im Regelfall die vertraglich vereinbarte Miete anzusetzen. Die Mietfläche entspricht der vermietbaren Wohnfläche bei wohnwirtschaftlicher Nutzung oder der dauerhaft vermietbaren Nutzfläche bei gewerblicher Nutzung. Bei verschiedenen Nutzungsarten sind die anteiligen Erträge getrennt darzustellen. Umlagen, die vom Mieter oder Pächter zur Deckung von Betriebskosten zu zahlen sind, sind nicht zu berücksichtigen.</w:t>
      </w:r>
    </w:p>
    <w:p>
      <w:r>
        <w:t xml:space="preserve">(2) Im Falle von Hotel-, Klinik-, Pflegeheim- oder einer vergleichbaren Nutzung sind die daraus resultierenden Roherträge nach Absatz 1 auf der Basis vorsichtig angenommener, durchschnittlich nach Region, Kategorie- und Ausstattungsgrad erzielbarer Umsätze pro Zimmer oder Bett herzuleiten.</w:t>
      </w:r>
    </w:p>
    <w:p>
      <w:r>
        <w:t xml:space="preserve">(3) Absatz 2 gilt im Falle von Objekten mit Gastronomie als Hauptnutzung, Kinos und vergleichbaren Freizeitobjekten mit der Maßgabe, dass die ermittelten durchschnittlichen Umsätze pro Sitzplatz herzuleiten sind.</w:t>
      </w:r>
    </w:p>
    <w:p>
      <w:r>
        <w:t xml:space="preserve">(4) Bestehen strukturelle oder lang andauernde Leerstände, ist besonders zu prüfen, ob das Objekt aufgrund der jeweiligen Marktlage und seines Zustands überhaupt ertragsfähig ist oder eine wirtschaftliche Nutzung zu den angesetzten Roherträgen in absehbarer Zeit noch zu erwarten ist.</w:t>
      </w:r>
    </w:p>
    <w:p>
      <w:r>
        <w:rPr>
          <w:color w:val="555555"/>
          <w:sz w:val="17"/>
        </w:rPr>
        <w:t xml:space="preserve">Zitiervorschlag: § 10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