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BekanntmVO (Nordrhein-Westfalen) — Geltung für Zweckverbände</w:t>
      </w:r>
    </w:p>
    <w:p>
      <w:r>
        <w:rPr>
          <w:color w:val="555555"/>
          <w:sz w:val="18"/>
        </w:rPr>
        <w:t xml:space="preserve">Bekanntmachungsverordnung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Vorschriften der §§ 2 bis 7 dieser Verordnung finden mit Ausnahme des § 4 Abs. 3 nach § 8 des Gesetzes über kommunale Gemeinschaftsarbeit auf die Zweckverbände sinngemäß Anwendung.</w:t>
      </w:r>
    </w:p>
    <w:p>
      <w:r>
        <w:rPr>
          <w:color w:val="555555"/>
          <w:sz w:val="17"/>
        </w:rPr>
        <w:t xml:space="preserve">Zitiervorschlag: § 9 BekanntmVO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https://recht.nulegal.eu/gesetze/BekanntmVO/9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