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BekanntmVO (Nordrhein-Westfalen) — Geltung für Kreise</w:t>
      </w:r>
    </w:p>
    <w:p>
      <w:r>
        <w:rPr>
          <w:color w:val="555555"/>
          <w:sz w:val="18"/>
        </w:rPr>
        <w:t xml:space="preserve">Bekanntmachungsverordnung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Vorschriften der §§ 2 bis 7 dieser Verordnung gelten mit Ausnahme des § 4 Abs. 3 für die Kreise entsprechend.</w:t>
      </w:r>
    </w:p>
    <w:p>
      <w:r>
        <w:rPr>
          <w:color w:val="555555"/>
          <w:sz w:val="17"/>
        </w:rPr>
        <w:t xml:space="preserve">Zitiervorschlag: § 8 BekanntmVO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https://recht.nulegal.eu/gesetze/BekanntmVO/8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