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BekanntmVO (Nordrhein-Westfalen) — Internet</w:t>
      </w:r>
    </w:p>
    <w:p>
      <w:r>
        <w:rPr>
          <w:color w:val="555555"/>
          <w:sz w:val="18"/>
        </w:rPr>
        <w:t xml:space="preserve">Bekanntmachungsverordnung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öffentlichen Bekanntmachungen der Gemeinden in der Form des § 4 Absatz 1 Satz 1 Nummer 4 erfolgen durch Bereitstellung des digitalisierten Dokumentes auf einer öffentlich zugänglichen Internetseite der Gemeinde unter Angabe des Bereitstellungstages. Die Gemeinde hat auf die erfolgte Bereitstellung und die Internetadresse in einer der in § 4 Absatz 1 Satz 1 Nummer 1 bis 3 bestimmten Formen nachrichtlich hinzuweisen. Die inhaltliche Übereinstimmung des digitalisierten Dokumentes mit dem der Bekanntmachung zugrunde liegenden Original nach § 2 muss gewährleistet sein.</w:t>
      </w:r>
    </w:p>
    <w:p>
      <w:r>
        <w:t xml:space="preserve">(2) Gemäß Absatz 1 bekannt gemachte Satzungen und sonstige ortsrechtliche Bestimmungen sind in einem ständig und dauerhaft verfügbaren und lesbaren Format für die Dauer ihrer Gültigkeit im Internet bereitzustellen und in der bekanntgemachten Fassung durch technische und organisatorische Maßnahmen zu sichern.</w:t>
      </w:r>
    </w:p>
    <w:p>
      <w:r>
        <w:t xml:space="preserve">(3) Die Bereitstellung im Internet darf nur im Rahmen einer ausschließlich in Verantwortung der Gemeinde betriebenen Internetseite erfolgen. Sie darf sich zur Einrichtung und Pflege der Internetseite eines Dritten bedienen.</w:t>
      </w:r>
    </w:p>
    <w:p>
      <w:r>
        <w:rPr>
          <w:color w:val="555555"/>
          <w:sz w:val="17"/>
        </w:rPr>
        <w:t xml:space="preserve">Zitiervorschlag: § 6 BekanntmVO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https://recht.nulegal.eu/gesetze/BekanntmVO/6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