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BekanntmVO (Nordrhein-Westfalen) — Amtsblatt</w:t>
      </w:r>
    </w:p>
    <w:p>
      <w:r>
        <w:rPr>
          <w:color w:val="555555"/>
          <w:sz w:val="18"/>
        </w:rPr>
        <w:t xml:space="preserve">Bekanntmachungsverordnung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Herausgeber des Amtsblatts ist der Bürgermeister. Enthält das Amtsblatt neben öffentlichen Bekanntmachungen und sonstigen amtlichen Mitteilungen (amtlicher Teil) einen örtlichen Nachrichten- und Veranstaltungsteil (nichtamtlicher Teil), so kann für diesen auch ein anderer Herausgeber verantwortlich sein.</w:t>
      </w:r>
    </w:p>
    <w:p>
      <w:r>
        <w:t xml:space="preserve">(2) Geben mehrere Gemeinden ein gemeinsames Amtsblatt heraus, so ist als Herausgeber des die jeweilige Gemeinde betreffenden Teils der Bürgermeister zu benennen.</w:t>
      </w:r>
    </w:p>
    <w:p>
      <w:r>
        <w:t xml:space="preserve">(3) Das Amtsblatt muß</w:t>
      </w:r>
    </w:p>
    <w:p>
      <w:r>
        <w:t xml:space="preserve">1. im Titel oder im Untertitel eine Bezeichnung führen, welche die Amtlichkeit des Mitteilungsblattes deutlich erkennen lässt und den Geltungsbereich bezeichnet,</w:t>
      </w:r>
    </w:p>
    <w:p>
      <w:r>
        <w:t xml:space="preserve">2. den Ausgabetag angeben und jahrgangsweise fortlaufend numeriert sein,</w:t>
      </w:r>
    </w:p>
    <w:p>
      <w:r>
        <w:t xml:space="preserve">3. die Bezugsmöglichkeiten und Bezugsbedingungen angeben,</w:t>
      </w:r>
    </w:p>
    <w:p>
      <w:r>
        <w:t xml:space="preserve">4. einzeln zu beziehen sein.</w:t>
      </w:r>
    </w:p>
    <w:p>
      <w:r>
        <w:rPr>
          <w:color w:val="555555"/>
          <w:sz w:val="17"/>
        </w:rPr>
        <w:t xml:space="preserve">Zitiervorschlag: § 5 BekanntmVO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https://recht.nulegal.eu/gesetze/BekanntmVO/5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