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BekanntmVO (Nordrhein-Westfalen) — Inhalt der Bekanntmachung</w:t>
      </w:r>
    </w:p>
    <w:p>
      <w:r>
        <w:rPr>
          <w:color w:val="555555"/>
          <w:sz w:val="18"/>
        </w:rPr>
        <w:t xml:space="preserve">Bekanntmachungsverordnung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veranlaßt, dass Satzung und Bekanntmachungsanordnung in vollem Wortlaut und in der nach § 4 vorgeschriebenen Form öffentlich bekanntgemacht werden.</w:t>
      </w:r>
    </w:p>
    <w:p>
      <w:r>
        <w:t xml:space="preserve">(2) Sind Karten, Pläne oder Zeichnungen Bestandteile einer Satzung, so können diese Teile anstatt einer öffentlichen Bekanntmachung nach § 4 an einer bestimmten Stelle der Gemeindeverwaltung zu jedermanns Einsicht während der Dienststunden ausgelegt werden, sofern der Inhalt der Karten, Pläne oder Zeichnungen zugleich in der Satzung grob umschrieben wird. In der Bekanntmachungsanordnung für solche Satzungen müssen Ort und Zeit der Auslegung genau bezeichnet sein. Wenn auf Grund von sondergesetzlichen Vorschriften eine öffentliche Bekanntmachung im Wortlaut und damit auch eine Bekanntmachungsanordnung entfällt, unterzeichnet der Bürgermeister eine Bekanntmachung, aus der Ort und Zeit der Auslegung zu ersehen sein müssen; diese Bekanntmachung, auf die die Vorschriften des § 2 entsprechend anzuwenden sind, ist nach § 4 Abs. 1, 2 und 4 und § 7 Absatz 1, 2 und 4 zu vollziehen.</w:t>
      </w:r>
    </w:p>
    <w:p>
      <w:r>
        <w:rPr>
          <w:color w:val="555555"/>
          <w:sz w:val="17"/>
        </w:rPr>
        <w:t xml:space="preserve">Zitiervorschlag: § 3 BekanntmVO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