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BekanntmVO (Nordrhein-Westfalen) — Geltungsbereich</w:t>
      </w:r>
    </w:p>
    <w:p>
      <w:r>
        <w:rPr>
          <w:color w:val="555555"/>
          <w:sz w:val="18"/>
        </w:rPr>
        <w:t xml:space="preserve">Bekanntmachungsverordnung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Das Verfahren und die Form bei der öffentlichen Bekanntmachung von Satzungen der Gemeinden, Kreise und Zweckverbände richten sich nach den Vorschriften dieser Verordnung, soweit nicht Bundes- oder Landesrecht hierüber besondere Regelungen enthält.</w:t>
      </w:r>
    </w:p>
    <w:p>
      <w:r>
        <w:t xml:space="preserve">(2) Die Vorschriften dieser Verordnung über Satzungen gelten auch für sonstige ortsrechtliche Bestimmungen.</w:t>
      </w:r>
    </w:p>
    <w:p>
      <w:r>
        <w:t xml:space="preserve">(3) Für die sonstigen öffentlichen Bekanntmachungen gelten die §§ 4 bis 7.</w:t>
      </w:r>
    </w:p>
    <w:p>
      <w:r>
        <w:rPr>
          <w:color w:val="555555"/>
          <w:sz w:val="17"/>
        </w:rPr>
        <w:t xml:space="preserve">Zitiervorschlag: § 1 BekanntmVO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https://recht.nulegal.eu/gesetze/BekanntmVO/1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