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BekanntmV (Brandenburg) — In-Kraft-Treten, Außer-Kraft-Treten</w:t>
      </w:r>
    </w:p>
    <w:p>
      <w:r>
        <w:rPr>
          <w:color w:val="555555"/>
          <w:sz w:val="18"/>
        </w:rPr>
        <w:t xml:space="preserve">Bekanntmachungsverordnung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Tage nach der Verkündung in Kraft. Gleichzeitig tritt die Bekanntmachungsverordnung vom 25. April 1994 ( GVBl. II S. 314), geändert durch die Verordnung vom 12. November 1994 (GVBl. II S. 970), außer Kraft.</w:t>
      </w:r>
    </w:p>
    <w:p>
      <w:r>
        <w:t xml:space="preserve">Potsdam, den 1. Dezember 2000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8 BekanntmV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https://recht.nulegal.eu/gesetze/BekanntmV/8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