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BekanntmV (Brandenburg) — Vollzug der Bekanntmachung</w:t>
      </w:r>
    </w:p>
    <w:p>
      <w:r>
        <w:rPr>
          <w:color w:val="555555"/>
          <w:sz w:val="18"/>
        </w:rPr>
        <w:t xml:space="preserve">Bekanntmachungsverordnung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Bekanntmachung einschließlich einer Ersatzbekanntmachung nach § 2 ist mit der Ausgabe des amtlichen Bekanntmachungsblattes vollzogen, in den Fällen des § 1 Abs. 3 Satz 1 mit der Ausgabe des periodischen Druckwerkes; sind mehrere periodische Druckwerke bestimmt, so gilt die Bekanntmachung mit Ablauf des Tages vollzogen, an dem das letzte Druckwerk mit der Bekanntmachung erscheint. Im Falle des § 3 Satz 1 ist die öffentliche Bekanntmachung mit Ablauf des Tages vollzogen, an dem die Öffentlichkeit die Möglichkeit hatte, davon Kenntnis zu nehmen. Im Falle des § 5 ist die Bekanntmachung mit Ablauf der Aushangfrist vollzogen. Im Falle des § 5a ist die Bekanntmachung mit der Bereitstellung im Internet vollzogen.</w:t>
      </w:r>
    </w:p>
    <w:p>
      <w:r>
        <w:t xml:space="preserve">(2) Über den Vollzug der Bekanntmachung ist ein Nachweis zu den Akten zu nehmen.</w:t>
      </w:r>
    </w:p>
    <w:p>
      <w:r>
        <w:rPr>
          <w:color w:val="555555"/>
          <w:sz w:val="17"/>
        </w:rPr>
        <w:t xml:space="preserve">Zitiervorschlag: § 6 BekanntmV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https://recht.nulegal.eu/gesetze/BekanntmV/6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