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BeitrVV — Beitragsabrechnung</w:t>
      </w:r>
    </w:p>
    <w:p>
      <w:r>
        <w:rPr>
          <w:color w:val="555555"/>
          <w:sz w:val="18"/>
        </w:rPr>
        <w:t xml:space="preserve">Beitragsverfahrensverordnung</w:t>
      </w:r>
    </w:p>
    <w:p>
      <w:r>
        <w:rPr>
          <w:color w:val="555555"/>
          <w:sz w:val="18"/>
        </w:rPr>
        <w:t xml:space="preserve">Stand: 01.01.2025 (konsolidierte Textfassung, kein amtliches Inkrafttretensdatum)</w:t>
      </w:r>
    </w:p>
    <w:p>
      <w:r>
        <w:t xml:space="preserve">(1) Der Arbeitgeber hat zur Prüfung der Vollständigkeit der Entgeltabrechnung für jeden Abrechnungszeitraum ein Verzeichnis aller Beschäftigten in der Sortierfolge der Entgeltunterlagen mit den folgenden Angaben und nach Einzugsstellen getrennt elektronisch zu erfassen und lesbar zur Verfügung zu stellen; für die Beitragsgrundlage der Unfallversicherung erfolgt diese Erfassung nach Unternehmernummern nach § 136a des Siebten Buches Sozialgesetzbuch:</w:t>
      </w:r>
    </w:p>
    <w:p>
      <w:pPr>
        <w:ind w:left="420"/>
      </w:pPr>
      <w:r>
        <w:t xml:space="preserve">1. dem Familien- und Vornamen und gegebenenfalls dem betrieblichen Ordnungsmerkmal,</w:t>
      </w:r>
    </w:p>
    <w:p>
      <w:pPr>
        <w:ind w:left="420"/>
      </w:pPr>
      <w:r>
        <w:t xml:space="preserve">2. dem beitragspflichtigen Arbeitsentgelt bis zur Beitragsbemessungsgrenze der Rentenversicherung,</w:t>
      </w:r>
    </w:p>
    <w:p>
      <w:pPr>
        <w:ind w:left="420"/>
      </w:pPr>
      <w:r>
        <w:t xml:space="preserve">2a. dem in der gesetzlichen Unfallversicherung beitragspflichtigen Arbeitsentgelt mit Arbeitsstunden in der angewendeten Gefahrtarifstelle bis zum gültigen Höchstjahresarbeitsverdienst des zuständigen Unfallversicherungsträgers,</w:t>
      </w:r>
    </w:p>
    <w:p>
      <w:pPr>
        <w:ind w:left="420"/>
      </w:pPr>
      <w:r>
        <w:t xml:space="preserve">3. dem Betrag nach § 3 Absatz 1 Nummer 1 Buchstabe b des Altersteilzeitgesetzes,</w:t>
      </w:r>
    </w:p>
    <w:p>
      <w:pPr>
        <w:ind w:left="420"/>
      </w:pPr>
      <w:r>
        <w:t xml:space="preserve">4. dem Beitragsgruppenschlüssel,</w:t>
      </w:r>
    </w:p>
    <w:p>
      <w:pPr>
        <w:ind w:left="420"/>
      </w:pPr>
      <w:r>
        <w:t xml:space="preserve">5. den Sozialversicherungstagen,</w:t>
      </w:r>
    </w:p>
    <w:p>
      <w:pPr>
        <w:ind w:left="420"/>
      </w:pPr>
      <w:r>
        <w:t xml:space="preserve">6. dem Gesamtsozialversicherungsbeitrag, nach Arbeitgeber- und Arbeitnehmeranteilen je Beitragsgruppe getrennt,</w:t>
      </w:r>
    </w:p>
    <w:p>
      <w:pPr>
        <w:ind w:left="420"/>
      </w:pPr>
      <w:r>
        <w:t xml:space="preserve">6a. der Summe der in der gesetzlichen Unfallversicherung beitragspflichtigen Arbeitsentgelte mit Arbeitsstunden je Gefahrtarifstelle und Anzahl der Versicherten getrennt,</w:t>
      </w:r>
    </w:p>
    <w:p>
      <w:pPr>
        <w:ind w:left="420"/>
      </w:pPr>
      <w:r>
        <w:t xml:space="preserve">7. dem gezahlten Kurzarbeitergeld und den hierauf entfallenden beitragspflichtigen Einnahmen,</w:t>
      </w:r>
    </w:p>
    <w:p>
      <w:pPr>
        <w:ind w:left="420"/>
      </w:pPr>
      <w:r>
        <w:t xml:space="preserve">8. den beitragspflichtigen Sonn-, Feiertags- und Nachtzuschlägen,</w:t>
      </w:r>
    </w:p>
    <w:p>
      <w:pPr>
        <w:ind w:left="420"/>
      </w:pPr>
      <w:r>
        <w:t xml:space="preserve">9. den Umlagesätzen nach dem Aufwendungsausgleichsgesetz und dem umlagepflichtigen Arbeitsentgelt,</w:t>
      </w:r>
    </w:p>
    <w:p>
      <w:pPr>
        <w:ind w:left="420"/>
      </w:pPr>
      <w:r>
        <w:t xml:space="preserve">10. den Parametern zur Berechnung der voraussichtlichen Höhe der Beitragsschuld.</w:t>
      </w:r>
    </w:p>
    <w:p>
      <w:r>
        <w:t xml:space="preserve">Die Beträge nach Satz 1 Nummer 7 sind zu summieren und die hierauf entfallenden Beiträge zur Kranken-, Pflege- und Rentenversicherung anzugeben; die Beträge nach Satz 1 Nummer 6 sind nach Beitragsgruppen zu summieren; die Beträge nach Satz 1 Nummer 6a sind nach Gefahrtarifstellen zu summieren; aus den Einzelsummen ist die Gesamtsumme aller Beiträge zu bilden. Berichtigungen oder Stornierungen sind besonders zu kennzeichnen.</w:t>
      </w:r>
    </w:p>
    <w:p>
      <w:r>
        <w:t xml:space="preserve">(2) Im Beitragsnachweis nach Absatz 1 sind Beschäftigte mit den Angaben nach Absatz 1 Satz 1 Nr. 1 und dem erzielten Arbeitsentgelt nach § 14 des Vierten Buches Sozialgesetzbuch gesondert zu erfassen, für die Beiträge nicht oder nach den Vorschriften des Übergangsbereichs (§ 20 Abs. 2 des Vierten Buches Sozialgesetzbuch) gezahlt werden. Sind Beitragsnachweise für mehrere Einzugsstellen zu erstellen, hat die Erfassung nach Satz 1 gesondert zu erfolgen.</w:t>
      </w:r>
    </w:p>
    <w:p>
      <w:r>
        <w:t xml:space="preserve">(3) Berechnet die Einzugsstelle die Beiträge, hat ihr der Arbeitgeber die für die Berechnung der Beiträge notwendigen Angaben mitzuteilen.</w:t>
      </w:r>
    </w:p>
    <w:p>
      <w:r>
        <w:t xml:space="preserve">(4) Im Beitragsnachweis sind die als gezahlt geltenden Beiträge nach § 28e Abs. 1 Satz 2 des Vierten Buches Sozialgesetzbuch nicht aufzunehmen.</w:t>
      </w:r>
    </w:p>
    <w:p>
      <w:r>
        <w:t xml:space="preserve">(5) Die Daten der Entgeltunterlagen nach § 8 und der Absätze 1 bis 4 sind in der Aufbewahrungsfrist jederzeit verfügbar und unverzüglich lesbar vorzuhalten. § 147 Abs. 5 und 6 der Abgabenordnung gilt entsprechend. Werden dem Arbeitgeber Dokumente nach § 8 Absatz 2 in Papierform übermittelt, sind diese vom Arbeitgeber in ein elektronisches Format umzuwandeln. Die Originaldokumente sind bis zum bestandskräftigen Abschluss der Betriebsprüfung oder nach den für das Dokument geltenden weiteren gesetzlichen Vorschriften aufzubewahren.</w:t>
      </w:r>
    </w:p>
    <w:p>
      <w:r>
        <w:rPr>
          <w:color w:val="555555"/>
          <w:sz w:val="17"/>
        </w:rPr>
        <w:t xml:space="preserve">Zitiervorschlag: § 9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